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5D" w:rsidRDefault="00F04C5D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04C5D" w:rsidRDefault="00F04C5D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04C5D" w:rsidRDefault="00F04C5D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04C5D" w:rsidRDefault="00F04C5D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04C5D" w:rsidRDefault="00D96670">
      <w:pPr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引黄济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淄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水源工程</w:t>
      </w:r>
    </w:p>
    <w:p w:rsidR="00D96670" w:rsidRDefault="00D96670">
      <w:pPr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第四沉沙条渠建设项目建设方案</w:t>
      </w: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Pr="000D4A2C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D9667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高青县水务局</w:t>
      </w:r>
    </w:p>
    <w:p w:rsidR="00F04C5D" w:rsidRDefault="00D9667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2018年10月</w:t>
      </w: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D4A2C" w:rsidRDefault="000D4A2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D4A2C" w:rsidRDefault="000D4A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D96670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引黄济淄水源工程</w:t>
      </w:r>
    </w:p>
    <w:p w:rsidR="00F04C5D" w:rsidRDefault="00D96670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第四沉沙条渠建设项目建设方案</w:t>
      </w: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为规范引黄济淄水源工程第四沉沙条渠项目建设，确保项目的顺利实施，根据《淄博市重大行政决策程序规定》、《淄博市重大行政决策目录管理办法（试行）》要求，特制定本</w:t>
      </w:r>
      <w:r w:rsidR="00837232">
        <w:rPr>
          <w:rFonts w:ascii="仿宋_GB2312" w:eastAsia="仿宋_GB2312" w:hAnsi="仿宋_GB2312" w:cs="仿宋_GB2312" w:hint="eastAsia"/>
          <w:sz w:val="32"/>
          <w:szCs w:val="32"/>
        </w:rPr>
        <w:t>方</w:t>
      </w:r>
      <w:r>
        <w:rPr>
          <w:rFonts w:ascii="仿宋_GB2312" w:eastAsia="仿宋_GB2312" w:hAnsi="仿宋_GB2312" w:cs="仿宋_GB2312" w:hint="eastAsia"/>
          <w:sz w:val="32"/>
          <w:szCs w:val="32"/>
        </w:rPr>
        <w:t>案。</w:t>
      </w:r>
      <w:bookmarkStart w:id="0" w:name="_GoBack"/>
      <w:bookmarkEnd w:id="0"/>
    </w:p>
    <w:p w:rsidR="00F04C5D" w:rsidRDefault="00D9667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一、引黄济</w:t>
      </w:r>
      <w:proofErr w:type="gramStart"/>
      <w:r>
        <w:rPr>
          <w:rFonts w:ascii="黑体" w:eastAsia="黑体" w:hAnsi="黑体" w:hint="eastAsia"/>
          <w:sz w:val="32"/>
          <w:szCs w:val="32"/>
        </w:rPr>
        <w:t>淄</w:t>
      </w:r>
      <w:proofErr w:type="gramEnd"/>
      <w:r>
        <w:rPr>
          <w:rFonts w:ascii="黑体" w:eastAsia="黑体" w:hAnsi="黑体" w:hint="eastAsia"/>
          <w:sz w:val="32"/>
          <w:szCs w:val="32"/>
        </w:rPr>
        <w:t>水源工程第四沉沙条</w:t>
      </w:r>
      <w:proofErr w:type="gramStart"/>
      <w:r>
        <w:rPr>
          <w:rFonts w:ascii="黑体" w:eastAsia="黑体" w:hAnsi="黑体" w:hint="eastAsia"/>
          <w:sz w:val="32"/>
          <w:szCs w:val="32"/>
        </w:rPr>
        <w:t>渠项目</w:t>
      </w:r>
      <w:proofErr w:type="gramEnd"/>
      <w:r>
        <w:rPr>
          <w:rFonts w:ascii="黑体" w:eastAsia="黑体" w:hAnsi="黑体" w:hint="eastAsia"/>
          <w:sz w:val="32"/>
          <w:szCs w:val="32"/>
        </w:rPr>
        <w:t>建设的必要性、可行性</w:t>
      </w:r>
    </w:p>
    <w:p w:rsidR="00F04C5D" w:rsidRDefault="00D96670">
      <w:pPr>
        <w:pStyle w:val="a3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高青县属沿黄区域，淄博市年引黄水量4亿m</w:t>
      </w:r>
      <w:r>
        <w:rPr>
          <w:rFonts w:cs="宋体" w:hint="eastAsia"/>
          <w:sz w:val="32"/>
          <w:szCs w:val="32"/>
        </w:rPr>
        <w:t>³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，主要通过高青县境内的马扎子、刘春家两座引黄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引水。引黄水主要用于农业灌溉、工业及生活用水，近年一直未达到引黄指标。随着淄博市引黄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入萌工程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建设，增加的引黄水量用于工业及景观用水。现状沉沙条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渠不能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满足引水水量的要求，新建第四沉沙条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渠不仅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是满足增加引黄水沉沙的需要，也是高青县工农业生产可持续发展的需要，引黄增加的水量水价也将促进地方经济收入。</w:t>
      </w:r>
    </w:p>
    <w:p w:rsidR="00F04C5D" w:rsidRDefault="00D96670">
      <w:pPr>
        <w:pStyle w:val="a3"/>
        <w:spacing w:line="560" w:lineRule="exact"/>
        <w:rPr>
          <w:rFonts w:ascii="仿宋_GB2312" w:eastAsia="仿宋_GB2312" w:hAnsi="黑体" w:cs="仿宋_GB2312"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Cs/>
          <w:sz w:val="32"/>
          <w:szCs w:val="32"/>
        </w:rPr>
        <w:t>（一）引黄济</w:t>
      </w:r>
      <w:proofErr w:type="gramStart"/>
      <w:r>
        <w:rPr>
          <w:rFonts w:ascii="仿宋_GB2312" w:eastAsia="仿宋_GB2312" w:hAnsi="黑体" w:cs="仿宋_GB2312" w:hint="eastAsia"/>
          <w:bCs/>
          <w:sz w:val="32"/>
          <w:szCs w:val="32"/>
        </w:rPr>
        <w:t>淄</w:t>
      </w:r>
      <w:proofErr w:type="gramEnd"/>
      <w:r>
        <w:rPr>
          <w:rFonts w:ascii="仿宋_GB2312" w:eastAsia="仿宋_GB2312" w:hAnsi="黑体" w:cs="仿宋_GB2312" w:hint="eastAsia"/>
          <w:bCs/>
          <w:sz w:val="32"/>
          <w:szCs w:val="32"/>
        </w:rPr>
        <w:t>水源工程第四沉沙条</w:t>
      </w:r>
      <w:proofErr w:type="gramStart"/>
      <w:r>
        <w:rPr>
          <w:rFonts w:ascii="仿宋_GB2312" w:eastAsia="仿宋_GB2312" w:hAnsi="黑体" w:cs="仿宋_GB2312" w:hint="eastAsia"/>
          <w:bCs/>
          <w:sz w:val="32"/>
          <w:szCs w:val="32"/>
        </w:rPr>
        <w:t>渠项目</w:t>
      </w:r>
      <w:proofErr w:type="gramEnd"/>
      <w:r>
        <w:rPr>
          <w:rFonts w:ascii="仿宋_GB2312" w:eastAsia="仿宋_GB2312" w:hAnsi="黑体" w:cs="仿宋_GB2312" w:hint="eastAsia"/>
          <w:bCs/>
          <w:sz w:val="32"/>
          <w:szCs w:val="32"/>
        </w:rPr>
        <w:t>建设的必要性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1、工程建设符合淄博市大水系连通建设的内容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淄博市近年来大力投资水系建设，中心城区目前已形成“八河连通、六水共用、清水润城”的水系格局。随着引黄入萌、红莲湖、马踏湖等一系列项目的建成，引黄需水量增加，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故加大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沉沙池的过水沉沙容量符合淄博市水系连通发展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的需要。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2、工程建设对促进淄博市水生态城市建设有积极推进作用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黄河水含沙量大，如不能充分沉淀，将造成下游引水渠淤积。引黄干渠是引水济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唯一的引水渠，大量泥沙将随着黄河水进入市区河道，泥沙沉积一方面增加清淤年度，另一方面破坏水质影响生态环境。因此，新建沉沙池对缓解黄河水泥沙沉淀，促进淄博市水生态城市建设有积极作用。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3、工程建设对保护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慢城湿地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生态环境有积极作用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刘春家引黄闸是淄博市主要的引黄进水口，沉沙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池位于引黄闸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下游渠首，是引黄河水的必经通道。为改变沉沙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池环境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状况，高青县拟将其建设成集引黄沉沙、生态旅游、湿地保护、休闲养生为一体的温泉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慢城湿地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公园。引黄沉沙及连续清淤将会对景区生态环境造成破坏，为此，新建沉沙条渠对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保护慢城生态环境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有积极作用。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4、工程建设有利于地方经济收入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高青县属沿黄区域，淄博市有年引黄量4亿m</w:t>
      </w:r>
      <w:r>
        <w:rPr>
          <w:rFonts w:ascii="宋体" w:eastAsia="宋体" w:hAnsi="宋体" w:cs="宋体" w:hint="eastAsia"/>
          <w:sz w:val="32"/>
          <w:szCs w:val="32"/>
        </w:rPr>
        <w:t>³</w:t>
      </w:r>
      <w:r>
        <w:rPr>
          <w:rFonts w:ascii="仿宋_GB2312" w:eastAsia="仿宋_GB2312" w:hAnsi="仿宋_GB2312" w:cs="仿宋_GB2312" w:hint="eastAsia"/>
          <w:sz w:val="32"/>
          <w:szCs w:val="32"/>
        </w:rPr>
        <w:t>水量的指标，主要通过高青县境内的马扎子、刘春家两座引黄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引水。引黄水主要用于农业灌溉、工业及生活用水，近年一直未达到引黄指标。随着淄博市引黄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入萌工程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建设，增加的引黄水量用于工业及景观用水。新建沉沙条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渠不仅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能满足增加引黄水沉沙的需要，增加的水量水价也将促进地方经济收入。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（二）引黄济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水源工程第四沉沙条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渠项目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建设的可行性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1、引黄水量有保障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高青县属沿黄区域，淄博市有年引黄量4亿m</w:t>
      </w:r>
      <w:r>
        <w:rPr>
          <w:rFonts w:ascii="宋体" w:eastAsia="宋体" w:hAnsi="宋体" w:cs="宋体" w:hint="eastAsia"/>
          <w:sz w:val="32"/>
          <w:szCs w:val="32"/>
        </w:rPr>
        <w:t>³</w:t>
      </w:r>
      <w:r>
        <w:rPr>
          <w:rFonts w:ascii="仿宋_GB2312" w:eastAsia="仿宋_GB2312" w:hAnsi="仿宋_GB2312" w:cs="仿宋_GB2312" w:hint="eastAsia"/>
          <w:sz w:val="32"/>
          <w:szCs w:val="32"/>
        </w:rPr>
        <w:t>水量的指标，主要通过高青县境内的马扎子、刘春家两座引黄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引水。引黄水主要用于农业灌溉、工业及生活用水，近年一直未达到引黄指标。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2016年，刘春家引黄水量为2.6亿m</w:t>
      </w:r>
      <w:r>
        <w:rPr>
          <w:rFonts w:ascii="宋体" w:eastAsia="宋体" w:hAnsi="宋体" w:cs="宋体" w:hint="eastAsia"/>
          <w:sz w:val="32"/>
          <w:szCs w:val="32"/>
        </w:rPr>
        <w:t>³</w:t>
      </w:r>
      <w:r>
        <w:rPr>
          <w:rFonts w:ascii="仿宋_GB2312" w:eastAsia="仿宋_GB2312" w:hAnsi="仿宋_GB2312" w:cs="仿宋_GB2312" w:hint="eastAsia"/>
          <w:sz w:val="32"/>
          <w:szCs w:val="32"/>
        </w:rPr>
        <w:t>，其中工业用水2.1亿m</w:t>
      </w:r>
      <w:r>
        <w:rPr>
          <w:rFonts w:ascii="宋体" w:eastAsia="宋体" w:hAnsi="宋体" w:cs="宋体" w:hint="eastAsia"/>
          <w:sz w:val="32"/>
          <w:szCs w:val="32"/>
        </w:rPr>
        <w:t>³</w:t>
      </w:r>
      <w:r>
        <w:rPr>
          <w:rFonts w:ascii="仿宋_GB2312" w:eastAsia="仿宋_GB2312" w:hAnsi="仿宋_GB2312" w:cs="仿宋_GB2312" w:hint="eastAsia"/>
          <w:sz w:val="32"/>
          <w:szCs w:val="32"/>
        </w:rPr>
        <w:t>，农业用水0.5亿m</w:t>
      </w:r>
      <w:r>
        <w:rPr>
          <w:rFonts w:ascii="宋体" w:eastAsia="宋体" w:hAnsi="宋体" w:cs="宋体" w:hint="eastAsia"/>
          <w:sz w:val="32"/>
          <w:szCs w:val="32"/>
        </w:rPr>
        <w:t>³</w:t>
      </w:r>
      <w:r>
        <w:rPr>
          <w:rFonts w:ascii="仿宋_GB2312" w:eastAsia="仿宋_GB2312" w:hAnsi="仿宋_GB2312" w:cs="仿宋_GB2312" w:hint="eastAsia"/>
          <w:sz w:val="32"/>
          <w:szCs w:val="32"/>
        </w:rPr>
        <w:t>，工业用水主要给临淄和桓台新城水库供水。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2、坚实的经济基础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高青县经济持续快速发展，地方财政收入不断增加。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刘春家引黄灌区位于淄博市高青县东部，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辖高城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、唐坊、常家三个镇和田镇、芦湖两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街道办，337个村，总人口19.51万人，乡村人口14.82万人。灌区总土地面积65.99万亩，耕地面积30.69万亩，现状有效灌溉面积21.96万亩。农业是灌区经济的主要组成部分，粮食作物以小麦、玉米为主，经济作物以棉花为主，是山东省唯一被农业部确定的棉花高产开发示范县。其较为丰富的土地资源使之成为鲁北平原的主要粮棉产区之一，并为轻纺行业加工生产提供了丰富的原料资源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高青县植桑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养蚕历史悠久，具有独特的优势，素有“金条、银条不如青城的桑条”之说；农副产品资源较为丰富，商品牛、肉食鸡养殖和羊、鸭、兔等果畜产品，为发展全县经济和改变人民生活提供了条件。灌区内有著名的无公害瓜菜生产基地，“青苑牌”瓜菜畅销周边地市及京津地区，还被农业部命名为“中国西瓜之乡”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3、有雄厚的技术力量和丰富的工程建设经验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春家灌区东、西、南片沉沙池的实施积累了经验。为今后沉沙条渠的建设在技术上创造了条件，积累了工程建设、管理运行方面的经验，并在实践中培养了一批施工、监理方面的水利技术骨干人员，管理上有经验，技术上有保障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4、领导重视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淄博市近年来大力投资水系建设，中心城区目前已形成“八河连通、六水共用、清水润城”的水系格局。政府和领导把引黄水源工程作为一项重要工作来抓，在项目立项，资金配套，协调各部门抓工程建设等方面非常重视，给予大力的支持和帮助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总之，从水源、经济、技术、领导支持等各方面考虑，引黄济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水源工程第四沉沙条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渠项目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是十分必要的，也都是可行的。</w:t>
      </w:r>
    </w:p>
    <w:p w:rsidR="00F04C5D" w:rsidRDefault="00D96670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二、引黄济</w:t>
      </w:r>
      <w:proofErr w:type="gramStart"/>
      <w:r>
        <w:rPr>
          <w:rFonts w:ascii="黑体" w:eastAsia="黑体" w:hAnsi="黑体" w:cs="仿宋_GB2312" w:hint="eastAsia"/>
          <w:sz w:val="32"/>
          <w:szCs w:val="32"/>
        </w:rPr>
        <w:t>淄</w:t>
      </w:r>
      <w:proofErr w:type="gramEnd"/>
      <w:r>
        <w:rPr>
          <w:rFonts w:ascii="黑体" w:eastAsia="黑体" w:hAnsi="黑体" w:cs="仿宋_GB2312" w:hint="eastAsia"/>
          <w:sz w:val="32"/>
          <w:szCs w:val="32"/>
        </w:rPr>
        <w:t>水源工程第四沉沙条</w:t>
      </w:r>
      <w:proofErr w:type="gramStart"/>
      <w:r>
        <w:rPr>
          <w:rFonts w:ascii="黑体" w:eastAsia="黑体" w:hAnsi="黑体" w:cs="仿宋_GB2312" w:hint="eastAsia"/>
          <w:sz w:val="32"/>
          <w:szCs w:val="32"/>
        </w:rPr>
        <w:t>渠项目</w:t>
      </w:r>
      <w:proofErr w:type="gramEnd"/>
      <w:r>
        <w:rPr>
          <w:rFonts w:ascii="黑体" w:eastAsia="黑体" w:hAnsi="黑体" w:cs="仿宋_GB2312" w:hint="eastAsia"/>
          <w:sz w:val="32"/>
          <w:szCs w:val="32"/>
        </w:rPr>
        <w:t>建设的法律、法规和政策依据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1、《高青县刘春家引黄灌区续建配套与节水改造工程（三期）可行性研究报告》（淄博市水利勘测设计院 2013.2）；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2、《高青县刘春家引黄灌区2014年度续建配套与节水改造工程实施方案》（淄博市水利勘测设计院 2015.3）；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3、《水利工程水利计算规范》（SL104—2015）；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4、《水利水电工程等级划分及洪水标准》（SL252—2017）；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5、《灌溉与排水渠系建筑物设计规范》（SL482－2011）；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6、《水闸设计规范》（SL265-2016）；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7、《堤防工程设计规范》（GB50286-2013）；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8、《中国地震动参数区划图》（GB18306-2015）；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9、《水电水利工程沉沙池设计规范》（DL/T5107-1999）；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10、《水工混凝土结构设计规范》（SL191-2008）；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11、《公路桥涵通用设计规范》（JTGD60-2015）；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12、《渠道防渗工程技术规范》（SL18-2004）；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13、《土工合成材料应用技术规范》（GB/T50290-2014）；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14、《水利水电工程设计工程量计算规定》（SL328-2005）；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15、《水利工程管理单位定岗标准》；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16、高青县水务局提供的关于刘春家灌区的相关资料；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17、其他国家有关规范。</w:t>
      </w:r>
    </w:p>
    <w:p w:rsidR="00F04C5D" w:rsidRDefault="00D96670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三、引黄济</w:t>
      </w:r>
      <w:proofErr w:type="gramStart"/>
      <w:r>
        <w:rPr>
          <w:rFonts w:ascii="黑体" w:eastAsia="黑体" w:hAnsi="黑体" w:cs="仿宋_GB2312" w:hint="eastAsia"/>
          <w:sz w:val="32"/>
          <w:szCs w:val="32"/>
        </w:rPr>
        <w:t>淄</w:t>
      </w:r>
      <w:proofErr w:type="gramEnd"/>
      <w:r>
        <w:rPr>
          <w:rFonts w:ascii="黑体" w:eastAsia="黑体" w:hAnsi="黑体" w:cs="仿宋_GB2312" w:hint="eastAsia"/>
          <w:sz w:val="32"/>
          <w:szCs w:val="32"/>
        </w:rPr>
        <w:t>水源工程第四沉沙条</w:t>
      </w:r>
      <w:proofErr w:type="gramStart"/>
      <w:r>
        <w:rPr>
          <w:rFonts w:ascii="黑体" w:eastAsia="黑体" w:hAnsi="黑体" w:cs="仿宋_GB2312" w:hint="eastAsia"/>
          <w:sz w:val="32"/>
          <w:szCs w:val="32"/>
        </w:rPr>
        <w:t>渠项目</w:t>
      </w:r>
      <w:proofErr w:type="gramEnd"/>
      <w:r>
        <w:rPr>
          <w:rFonts w:ascii="黑体" w:eastAsia="黑体" w:hAnsi="黑体" w:cs="仿宋_GB2312" w:hint="eastAsia"/>
          <w:sz w:val="32"/>
          <w:szCs w:val="32"/>
        </w:rPr>
        <w:t>建设的成本效益分析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（一）投资情况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本工程概算总投资5174.21万元，其中主体工程投资4306.77万元，环境保护工程投资26.99万元，水土保持工程投资146.18万元，工程占地补偿694.27万元。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（二）效益估算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本工程产生的效益包括：灌溉效益、直接经济效益。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1、灌溉效益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（1）农产品的影子价格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按照《水利建设项目经济评价规范》(SL72-94)附录C，规定玉米、小麦、棉花按影子价格计算，目前市场价格基本能反映真实价格，小麦、玉米的价格采用2016年9月农产品市场价格，玉米的影子价格为2500元/t；小麦的影子价格为2500元/t；根据山东棉花信息网提供的棉花现货价格行情，棉花的影子价格为19000元/t。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（2）灌溉效益计算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采用分摊系数法计算灌溉效益。根据历年产量，灌区现状年内各种农作物（无项目）平均灌溉产量，按灌溉分摊系数及农作物的影子价格，计算现状年平均灌溉效益。计算结果见表1。</w:t>
      </w:r>
    </w:p>
    <w:p w:rsidR="00F04C5D" w:rsidRDefault="00D96670">
      <w:pPr>
        <w:adjustRightInd w:val="0"/>
        <w:snapToGrid w:val="0"/>
        <w:ind w:firstLineChars="200" w:firstLine="48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表1              现状年农作物平均灌溉效益计算表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1734"/>
        <w:gridCol w:w="1734"/>
        <w:gridCol w:w="1649"/>
        <w:gridCol w:w="1664"/>
      </w:tblGrid>
      <w:tr w:rsidR="00F04C5D">
        <w:trPr>
          <w:cantSplit/>
          <w:trHeight w:hRule="exact" w:val="454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作物名称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玉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麦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棉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花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   计</w:t>
            </w:r>
          </w:p>
        </w:tc>
      </w:tr>
      <w:tr w:rsidR="00F04C5D">
        <w:tblPrEx>
          <w:tblBorders>
            <w:top w:val="none" w:sz="0" w:space="0" w:color="auto"/>
          </w:tblBorders>
        </w:tblPrEx>
        <w:trPr>
          <w:cantSplit/>
          <w:trHeight w:hRule="exact" w:val="454"/>
        </w:trPr>
        <w:tc>
          <w:tcPr>
            <w:tcW w:w="21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亩产量</w:t>
            </w:r>
            <w:r>
              <w:rPr>
                <w:rFonts w:ascii="宋体" w:hAnsi="宋体"/>
                <w:kern w:val="0"/>
                <w:szCs w:val="21"/>
              </w:rPr>
              <w:t>(kg)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482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430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</w:tblBorders>
        </w:tblPrEx>
        <w:trPr>
          <w:cantSplit/>
          <w:trHeight w:hRule="exact" w:val="454"/>
        </w:trPr>
        <w:tc>
          <w:tcPr>
            <w:tcW w:w="21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灌溉面积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亩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139593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139593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37107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hRule="exact" w:val="454"/>
        </w:trPr>
        <w:tc>
          <w:tcPr>
            <w:tcW w:w="21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灌溉分摊系数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hRule="exact" w:val="454"/>
        </w:trPr>
        <w:tc>
          <w:tcPr>
            <w:tcW w:w="21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影子价格（元/kg）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hRule="exact" w:val="454"/>
        </w:trPr>
        <w:tc>
          <w:tcPr>
            <w:tcW w:w="21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灌溉效益（万元）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6728.38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6002.5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1945.89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14676.77</w:t>
            </w:r>
          </w:p>
        </w:tc>
      </w:tr>
    </w:tbl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预测分析今后30年内各种农作物在有项目条件下，年平均产量，按灌溉分摊系数及农作物的影子价格，可推算平均灌溉效益。两者相减即为增产的灌溉效益。计算结果见表2。</w:t>
      </w:r>
    </w:p>
    <w:p w:rsidR="00F04C5D" w:rsidRDefault="00D96670">
      <w:pPr>
        <w:adjustRightInd w:val="0"/>
        <w:snapToGrid w:val="0"/>
        <w:ind w:firstLineChars="200" w:firstLine="482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表2</w:t>
      </w:r>
      <w:r>
        <w:rPr>
          <w:rFonts w:ascii="宋体" w:hAnsi="宋体"/>
          <w:b/>
          <w:bCs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ascii="宋体" w:hAnsi="宋体" w:hint="eastAsia"/>
          <w:kern w:val="0"/>
          <w:sz w:val="24"/>
        </w:rPr>
        <w:t xml:space="preserve">       </w:t>
      </w:r>
      <w:r>
        <w:rPr>
          <w:rFonts w:ascii="宋体" w:hAnsi="宋体" w:hint="eastAsia"/>
          <w:b/>
          <w:kern w:val="0"/>
          <w:sz w:val="24"/>
        </w:rPr>
        <w:t xml:space="preserve">  计算期内农作物年平均灌溉效益计算表</w:t>
      </w:r>
    </w:p>
    <w:tbl>
      <w:tblPr>
        <w:tblpPr w:leftFromText="180" w:rightFromText="180" w:vertAnchor="text" w:horzAnchor="margin" w:tblpXSpec="center" w:tblpY="49"/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1476"/>
        <w:gridCol w:w="1588"/>
        <w:gridCol w:w="1838"/>
        <w:gridCol w:w="1684"/>
      </w:tblGrid>
      <w:tr w:rsidR="00F04C5D">
        <w:trPr>
          <w:cantSplit/>
          <w:trHeight w:val="431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作物名称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玉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米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麦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棉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花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    计</w:t>
            </w:r>
          </w:p>
        </w:tc>
      </w:tr>
      <w:tr w:rsidR="00F04C5D">
        <w:tblPrEx>
          <w:tblBorders>
            <w:top w:val="none" w:sz="0" w:space="0" w:color="auto"/>
          </w:tblBorders>
        </w:tblPrEx>
        <w:trPr>
          <w:cantSplit/>
          <w:trHeight w:val="429"/>
        </w:trPr>
        <w:tc>
          <w:tcPr>
            <w:tcW w:w="2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亩产量</w:t>
            </w:r>
            <w:r>
              <w:rPr>
                <w:rFonts w:ascii="宋体" w:hAnsi="宋体"/>
                <w:kern w:val="0"/>
                <w:szCs w:val="21"/>
              </w:rPr>
              <w:t>(kg)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505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450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</w:tblBorders>
        </w:tblPrEx>
        <w:trPr>
          <w:cantSplit/>
          <w:trHeight w:val="429"/>
        </w:trPr>
        <w:tc>
          <w:tcPr>
            <w:tcW w:w="2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灌溉面积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亩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139593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139593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37107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val="429"/>
        </w:trPr>
        <w:tc>
          <w:tcPr>
            <w:tcW w:w="2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灌溉分摊系数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val="429"/>
        </w:trPr>
        <w:tc>
          <w:tcPr>
            <w:tcW w:w="2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影子价格（元/kg）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04C5D">
        <w:tblPrEx>
          <w:tblBorders>
            <w:top w:val="none" w:sz="0" w:space="0" w:color="auto"/>
            <w:bottom w:val="single" w:sz="8" w:space="0" w:color="000000"/>
          </w:tblBorders>
        </w:tblPrEx>
        <w:trPr>
          <w:cantSplit/>
          <w:trHeight w:val="429"/>
        </w:trPr>
        <w:tc>
          <w:tcPr>
            <w:tcW w:w="2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灌溉效益（万元）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7049.45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6281.69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2058.7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C5D" w:rsidRDefault="00D96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15389.84</w:t>
            </w:r>
          </w:p>
        </w:tc>
      </w:tr>
    </w:tbl>
    <w:p w:rsidR="00F04C5D" w:rsidRDefault="00F04C5D">
      <w:pPr>
        <w:adjustRightInd w:val="0"/>
        <w:snapToGrid w:val="0"/>
        <w:spacing w:line="360" w:lineRule="auto"/>
        <w:ind w:firstLineChars="200" w:firstLine="200"/>
        <w:rPr>
          <w:rFonts w:ascii="宋体" w:hAnsi="宋体"/>
          <w:sz w:val="10"/>
          <w:szCs w:val="10"/>
        </w:rPr>
      </w:pP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由表1和表2可知，计算期内农作物年平均灌溉增产效益为713.07万元。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2、直接经济效益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工程建成后，渠系及建筑物维修养护费用和工程事故抢修费用降低，每年直接经济效益按正常运行期的10%计算，直接经济效益为13.64万元。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本项目实施后产生的效益总计726.71万元。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（三）国民经济评价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国民经济评价的三个主要指标是：经济净现值、经济内部收益率、经济效益费用比。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 评价依据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⑴、《水利建设项目经济评价规范》（SL72—2013）；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⑵、《建设项目经济评价方法与参数》（第三版）（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发改投资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[2006]1325号文公布）。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2、基本参数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⑴、计算期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项目经济计算期取30年，以工程建设第一年作为折算基准年，并以该年年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初作为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折算基准点。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⑵、社会折现率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社会折现率取8%。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⑶ 、评价结论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从国民经济角度分析工程的盈利能力，根据经济内部收益率、经济净现值、经济效益费用比等评价指标和评价准则进行。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评价指标及计算公式</w:t>
      </w:r>
    </w:p>
    <w:p w:rsidR="00F04C5D" w:rsidRDefault="00D96670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经济内部回收率(EIRR) </w:t>
      </w:r>
    </w:p>
    <w:p w:rsidR="00F04C5D" w:rsidRDefault="00D96670">
      <w:pPr>
        <w:adjustRightInd w:val="0"/>
        <w:snapToGrid w:val="0"/>
        <w:spacing w:line="360" w:lineRule="auto"/>
        <w:ind w:left="64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/>
          <w:sz w:val="24"/>
        </w:rPr>
        <w:object w:dxaOrig="25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95pt;height:32.65pt" o:ole="">
            <v:imagedata r:id="rId8" o:title=""/>
          </v:shape>
          <o:OLEObject Type="Embed" ProgID="Equation.3" ShapeID="_x0000_i1025" DrawAspect="Content" ObjectID="_1670779524" r:id="rId9"/>
        </w:objec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式中：EIRR——经济内部收益率；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B——年效益(万元)；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C——年费用(万元)；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N——计算期(年)；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t——计算期各年的序号，基准点的序号为0；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(B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C)t ——第t年的效益(万元)。</w:t>
      </w:r>
    </w:p>
    <w:p w:rsidR="00F04C5D" w:rsidRDefault="00D96670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经济净现值(ENPV) </w:t>
      </w:r>
    </w:p>
    <w:p w:rsidR="00F04C5D" w:rsidRDefault="00D96670">
      <w:pPr>
        <w:pStyle w:val="aa"/>
        <w:adjustRightInd w:val="0"/>
        <w:snapToGrid w:val="0"/>
        <w:spacing w:line="360" w:lineRule="auto"/>
        <w:ind w:left="600" w:firstLineChars="0" w:firstLine="0"/>
        <w:rPr>
          <w:rFonts w:ascii="仿宋_GB2312" w:eastAsia="仿宋_GB2312" w:hAnsi="宋体"/>
          <w:sz w:val="32"/>
          <w:szCs w:val="32"/>
        </w:rPr>
      </w:pPr>
      <w:r>
        <w:object w:dxaOrig="2805" w:dyaOrig="675">
          <v:shape id="_x0000_i1026" type="#_x0000_t75" style="width:140.65pt;height:33.5pt" o:ole="">
            <v:imagedata r:id="rId10" o:title=""/>
          </v:shape>
          <o:OLEObject Type="Embed" ProgID="Equation.3" ShapeID="_x0000_i1026" DrawAspect="Content" ObjectID="_1670779525" r:id="rId11"/>
        </w:objec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式中：ENPY——经济净现值(万元)；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is——社会折现率。</w:t>
      </w:r>
    </w:p>
    <w:p w:rsidR="00F04C5D" w:rsidRDefault="00D96670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经济效益费用比(EBCR)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EBCR——经济效益费用比是年度费用和效益之比。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经计算，经济内部收益率为 14.2%，经济净现值为2237.20万元，经济效益费用比为1.46。国民经济效益费用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流量表详见表11.4-1。</w:t>
      </w:r>
    </w:p>
    <w:p w:rsidR="00F04C5D" w:rsidRDefault="00D9667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结论：由计算的各项指标值可以看出，经济内部收益率大于社会折现率，经济净现值大于零，经济效益费用比大于1。因此，从国民经济盈利能力分析来看，工程在经济上是合理可行的。</w:t>
      </w:r>
    </w:p>
    <w:p w:rsidR="00F04C5D" w:rsidRDefault="00D96670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四、引黄济</w:t>
      </w:r>
      <w:proofErr w:type="gramStart"/>
      <w:r>
        <w:rPr>
          <w:rFonts w:ascii="黑体" w:eastAsia="黑体" w:hAnsi="黑体" w:cs="仿宋_GB2312" w:hint="eastAsia"/>
          <w:sz w:val="32"/>
          <w:szCs w:val="32"/>
        </w:rPr>
        <w:t>淄</w:t>
      </w:r>
      <w:proofErr w:type="gramEnd"/>
      <w:r>
        <w:rPr>
          <w:rFonts w:ascii="黑体" w:eastAsia="黑体" w:hAnsi="黑体" w:cs="仿宋_GB2312" w:hint="eastAsia"/>
          <w:sz w:val="32"/>
          <w:szCs w:val="32"/>
        </w:rPr>
        <w:t>水源工程第四沉沙条</w:t>
      </w:r>
      <w:proofErr w:type="gramStart"/>
      <w:r>
        <w:rPr>
          <w:rFonts w:ascii="黑体" w:eastAsia="黑体" w:hAnsi="黑体" w:cs="仿宋_GB2312" w:hint="eastAsia"/>
          <w:sz w:val="32"/>
          <w:szCs w:val="32"/>
        </w:rPr>
        <w:t>渠项目</w:t>
      </w:r>
      <w:proofErr w:type="gramEnd"/>
      <w:r>
        <w:rPr>
          <w:rFonts w:ascii="黑体" w:eastAsia="黑体" w:hAnsi="黑体" w:cs="仿宋_GB2312" w:hint="eastAsia"/>
          <w:sz w:val="32"/>
          <w:szCs w:val="32"/>
        </w:rPr>
        <w:t>建设的主要内容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引黄济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水源工程第四沉沙条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渠项目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主要明确了以下内容：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（一）主要建设内容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OLE_LINK2"/>
      <w:r>
        <w:rPr>
          <w:rFonts w:ascii="仿宋_GB2312" w:eastAsia="仿宋_GB2312" w:hAnsi="仿宋_GB2312" w:cs="仿宋_GB2312" w:hint="eastAsia"/>
          <w:sz w:val="32"/>
          <w:szCs w:val="32"/>
        </w:rPr>
        <w:t>新建沉沙条渠1处，占地面积1830.85亩，围堤长6653m，隔堤长2214m，围堤、隔堤顶宽10m，边坡1:3；新建沉沙条渠进、出水闸各1座，设计流量15m</w:t>
      </w:r>
      <w:r>
        <w:rPr>
          <w:rFonts w:ascii="宋体" w:eastAsia="宋体" w:hAnsi="宋体" w:cs="宋体" w:hint="eastAsia"/>
          <w:sz w:val="32"/>
          <w:szCs w:val="32"/>
        </w:rPr>
        <w:t>³</w:t>
      </w:r>
      <w:r>
        <w:rPr>
          <w:rFonts w:ascii="仿宋_GB2312" w:eastAsia="仿宋_GB2312" w:hAnsi="仿宋_GB2312" w:cs="仿宋_GB2312" w:hint="eastAsia"/>
          <w:sz w:val="32"/>
          <w:szCs w:val="32"/>
        </w:rPr>
        <w:t>/s；新建生产桥4座，设计荷载参照公路-Ⅱ级；新建φ1.0涵闸6座；新建混凝土衬砌渠44m；新建倒虹吸1座，采用1.5m钢筋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方涵；新建亲水栈道1240m；新开挖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渗沟2700m；村庄处防渗处理676m（围堤桩号4+124-4+800）；高压线塔防护3处；对沉沙条渠隔堤顶部进行绿化，对围堤、隔堤边坡植草皮或种植低矮水生植物。</w:t>
      </w:r>
    </w:p>
    <w:bookmarkEnd w:id="1"/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（二）工程管理</w:t>
      </w:r>
    </w:p>
    <w:p w:rsidR="00F04C5D" w:rsidRDefault="00D9667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工程竣工验收后，由刘春家引黄灌溉管理处负责工程的运行管理。</w:t>
      </w:r>
    </w:p>
    <w:p w:rsidR="00F04C5D" w:rsidRDefault="00F04C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F04C5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F3E"/>
    <w:multiLevelType w:val="multilevel"/>
    <w:tmpl w:val="04240F3E"/>
    <w:lvl w:ilvl="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285A"/>
    <w:rsid w:val="00037A8B"/>
    <w:rsid w:val="000D4A2C"/>
    <w:rsid w:val="00114966"/>
    <w:rsid w:val="001749BD"/>
    <w:rsid w:val="0018379E"/>
    <w:rsid w:val="00342C78"/>
    <w:rsid w:val="003B1BE4"/>
    <w:rsid w:val="003B4CE3"/>
    <w:rsid w:val="003F3C7F"/>
    <w:rsid w:val="00414A4A"/>
    <w:rsid w:val="00473FED"/>
    <w:rsid w:val="004B78F8"/>
    <w:rsid w:val="00546373"/>
    <w:rsid w:val="00547EC4"/>
    <w:rsid w:val="005635CF"/>
    <w:rsid w:val="0057339F"/>
    <w:rsid w:val="00610866"/>
    <w:rsid w:val="00691CB9"/>
    <w:rsid w:val="0069285A"/>
    <w:rsid w:val="00712793"/>
    <w:rsid w:val="007270B6"/>
    <w:rsid w:val="00837232"/>
    <w:rsid w:val="00887C54"/>
    <w:rsid w:val="009015B2"/>
    <w:rsid w:val="00917C38"/>
    <w:rsid w:val="009423CC"/>
    <w:rsid w:val="009A4965"/>
    <w:rsid w:val="00A15DF2"/>
    <w:rsid w:val="00A2266B"/>
    <w:rsid w:val="00A23684"/>
    <w:rsid w:val="00AE09D9"/>
    <w:rsid w:val="00B31DF1"/>
    <w:rsid w:val="00BA5134"/>
    <w:rsid w:val="00C117C5"/>
    <w:rsid w:val="00D1156E"/>
    <w:rsid w:val="00D912CA"/>
    <w:rsid w:val="00D96670"/>
    <w:rsid w:val="00DE67FC"/>
    <w:rsid w:val="00E3161E"/>
    <w:rsid w:val="00EC7F61"/>
    <w:rsid w:val="00F04C5D"/>
    <w:rsid w:val="00F25CCA"/>
    <w:rsid w:val="027917D0"/>
    <w:rsid w:val="14F03DA4"/>
    <w:rsid w:val="22007C09"/>
    <w:rsid w:val="308135AA"/>
    <w:rsid w:val="3A533DDC"/>
    <w:rsid w:val="5CA34C27"/>
    <w:rsid w:val="60473100"/>
    <w:rsid w:val="768A382F"/>
    <w:rsid w:val="777B448E"/>
    <w:rsid w:val="7E9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/>
      <w:jc w:val="center"/>
      <w:outlineLvl w:val="0"/>
    </w:pPr>
    <w:rPr>
      <w:rFonts w:eastAsia="华文新魏"/>
      <w:bCs/>
      <w:kern w:val="44"/>
      <w:sz w:val="40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/>
      <w:jc w:val="center"/>
      <w:outlineLvl w:val="1"/>
    </w:pPr>
    <w:rPr>
      <w:rFonts w:ascii="黑体"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pPr>
      <w:adjustRightInd w:val="0"/>
      <w:snapToGrid w:val="0"/>
      <w:spacing w:line="360" w:lineRule="auto"/>
      <w:ind w:firstLine="601"/>
    </w:pPr>
    <w:rPr>
      <w:rFonts w:ascii="宋体" w:eastAsia="宋体" w:hAnsi="宋体" w:cs="Courier New"/>
      <w:sz w:val="30"/>
      <w:szCs w:val="21"/>
    </w:rPr>
  </w:style>
  <w:style w:type="paragraph" w:styleId="a4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纯文本 Char"/>
    <w:qFormat/>
    <w:rPr>
      <w:rFonts w:ascii="宋体" w:eastAsia="宋体" w:hAnsi="宋体" w:cs="Courier New"/>
      <w:sz w:val="30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0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microsoft.com/office/2007/relationships/stylesWithEffects" Target="stylesWithEffect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9A8B67-A831-4AEF-A397-F0ECA657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679</Words>
  <Characters>3872</Characters>
  <Application>Microsoft Office Word</Application>
  <DocSecurity>0</DocSecurity>
  <Lines>32</Lines>
  <Paragraphs>9</Paragraphs>
  <ScaleCrop>false</ScaleCrop>
  <Company>CHINA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lb</cp:lastModifiedBy>
  <cp:revision>20</cp:revision>
  <cp:lastPrinted>2017-05-23T00:43:00Z</cp:lastPrinted>
  <dcterms:created xsi:type="dcterms:W3CDTF">2017-05-23T03:17:00Z</dcterms:created>
  <dcterms:modified xsi:type="dcterms:W3CDTF">2020-12-29T12:38:00Z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