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7ADDF">
      <w:pPr>
        <w:spacing w:line="240" w:lineRule="auto"/>
        <w:ind w:firstLine="0"/>
        <w:rPr>
          <w:rFonts w:hint="eastAsia" w:ascii="方正小标宋简体" w:hAnsi="黑体" w:eastAsia="方正小标宋简体"/>
          <w:sz w:val="44"/>
          <w:szCs w:val="44"/>
        </w:rPr>
      </w:pPr>
    </w:p>
    <w:p w14:paraId="29D6074D">
      <w:pPr>
        <w:spacing w:line="240" w:lineRule="auto"/>
        <w:ind w:firstLine="0"/>
        <w:jc w:val="center"/>
        <w:rPr>
          <w:rFonts w:ascii="仿宋_GB2312" w:eastAsia="仿宋_GB2312"/>
        </w:rPr>
      </w:pPr>
    </w:p>
    <w:p w14:paraId="12E2CCCC">
      <w:pPr>
        <w:spacing w:after="312" w:afterLines="100" w:line="560" w:lineRule="exact"/>
        <w:ind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高青县水利局</w:t>
      </w:r>
    </w:p>
    <w:p w14:paraId="21D76DF3">
      <w:pPr>
        <w:spacing w:after="312" w:afterLines="100" w:line="560" w:lineRule="exact"/>
        <w:ind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2025年政府信息公开工作年度报告</w:t>
      </w:r>
    </w:p>
    <w:p w14:paraId="60A1D3D3">
      <w:pPr>
        <w:spacing w:line="56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w:t>
      </w:r>
      <w:r>
        <w:rPr>
          <w:rFonts w:hint="eastAsia" w:ascii="仿宋_GB2312" w:eastAsia="仿宋_GB2312"/>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hint="eastAsia" w:ascii="仿宋_GB2312" w:eastAsia="仿宋_GB2312"/>
          <w:szCs w:val="32"/>
        </w:rPr>
        <w:t>）相关要求编制</w:t>
      </w:r>
      <w:r>
        <w:rPr>
          <w:rFonts w:hint="eastAsia" w:ascii="仿宋_GB2312" w:eastAsia="仿宋_GB2312"/>
        </w:rPr>
        <w:t>。报告全文分总体情况、主动公开政府信息情况、收到和处理政府信息公开申请情况、政府信息公开行政复议和行政诉讼情况、存在的主要问题及改进情况、其他需要报告的事项六个部分。</w:t>
      </w:r>
    </w:p>
    <w:p w14:paraId="3B48299B">
      <w:pPr>
        <w:spacing w:line="560" w:lineRule="exact"/>
        <w:ind w:firstLine="640" w:firstLineChars="200"/>
        <w:rPr>
          <w:rFonts w:hint="eastAsia" w:ascii="仿宋_GB2312" w:hAnsi="黑体" w:eastAsia="仿宋_GB2312"/>
        </w:rPr>
      </w:pPr>
      <w:r>
        <w:rPr>
          <w:rFonts w:hint="eastAsia" w:ascii="仿宋_GB2312" w:eastAsia="仿宋_GB2312"/>
        </w:rPr>
        <w:t>报告中所列数据统计期限自2025年1月1日始，至2025年12月31日止。报告电子版可在高青县人民政府门户网站（www.gaoqing.gov.cn）查阅和下载。如对报告内容有疑问，请与高青县水利局办公室联系（地址：山东省淄博市高青县中心路37号；邮编：256300；电话：0533-6962141；传真：0533-6775558；邮箱：gqxswj@zb.shandong.cn）。</w:t>
      </w:r>
    </w:p>
    <w:p w14:paraId="5A7104FC">
      <w:pPr>
        <w:spacing w:line="600" w:lineRule="exact"/>
        <w:ind w:firstLine="640" w:firstLineChars="200"/>
        <w:rPr>
          <w:rFonts w:hint="eastAsia" w:ascii="黑体" w:hAnsi="黑体" w:eastAsia="黑体"/>
          <w:szCs w:val="32"/>
        </w:rPr>
      </w:pPr>
      <w:r>
        <w:rPr>
          <w:rFonts w:hint="eastAsia" w:ascii="黑体" w:hAnsi="黑体" w:eastAsia="黑体"/>
          <w:szCs w:val="32"/>
        </w:rPr>
        <w:t>一、总体情况</w:t>
      </w:r>
    </w:p>
    <w:p w14:paraId="3CD9240B">
      <w:pPr>
        <w:spacing w:line="560" w:lineRule="exact"/>
        <w:ind w:firstLine="640" w:firstLineChars="200"/>
        <w:rPr>
          <w:rFonts w:ascii="仿宋_GB2312" w:eastAsia="仿宋_GB2312"/>
          <w:szCs w:val="32"/>
        </w:rPr>
      </w:pPr>
      <w:r>
        <w:rPr>
          <w:rFonts w:ascii="仿宋_GB2312" w:eastAsia="仿宋_GB2312"/>
          <w:szCs w:val="32"/>
        </w:rPr>
        <w:t>202</w:t>
      </w:r>
      <w:r>
        <w:rPr>
          <w:rFonts w:hint="eastAsia" w:ascii="仿宋_GB2312" w:eastAsia="仿宋_GB2312"/>
          <w:szCs w:val="32"/>
        </w:rPr>
        <w:t>5年，高青县水利局坚持以习近平新时代中国特色社会主义思想为指导，认真落实国家和省市县政务公开工作部署，围绕中心、服务大局，聚焦群众关切，持续提升政府信息公开的质量和实效。</w:t>
      </w:r>
    </w:p>
    <w:p w14:paraId="7148946F">
      <w:pPr>
        <w:spacing w:line="600" w:lineRule="exact"/>
        <w:jc w:val="left"/>
        <w:rPr>
          <w:rFonts w:ascii="楷体_GB2312" w:eastAsia="楷体_GB2312"/>
        </w:rPr>
      </w:pPr>
      <w:r>
        <w:rPr>
          <w:rFonts w:hint="eastAsia" w:ascii="楷体_GB2312" w:eastAsia="楷体_GB2312"/>
        </w:rPr>
        <w:t>（一）主动公开</w:t>
      </w:r>
    </w:p>
    <w:p w14:paraId="08734962">
      <w:pPr>
        <w:spacing w:line="560" w:lineRule="exact"/>
        <w:ind w:firstLine="640" w:firstLineChars="200"/>
        <w:jc w:val="left"/>
        <w:rPr>
          <w:rFonts w:hint="eastAsia" w:ascii="仿宋_GB2312" w:hAnsi="仿宋_GB2312" w:eastAsia="仿宋_GB2312" w:cs="仿宋_GB2312"/>
          <w:color w:val="000000"/>
          <w:szCs w:val="32"/>
          <w:shd w:val="clear" w:color="auto" w:fill="FFFFFF"/>
          <w:lang w:bidi="ar"/>
        </w:rPr>
      </w:pPr>
      <w:r>
        <w:rPr>
          <w:rFonts w:hint="eastAsia" w:ascii="仿宋_GB2312" w:hAnsi="仿宋_GB2312" w:eastAsia="仿宋_GB2312" w:cs="仿宋_GB2312"/>
          <w:color w:val="000000"/>
          <w:szCs w:val="32"/>
          <w:shd w:val="clear" w:color="auto" w:fill="FFFFFF"/>
          <w:lang w:bidi="ar"/>
        </w:rPr>
        <w:t>制定《2025年高青县水利局政务公开工作方案》，高标准按照工作方案要求对相关信息进行公开。</w:t>
      </w:r>
      <w:r>
        <w:rPr>
          <w:rFonts w:hint="eastAsia" w:ascii="仿宋_GB2312" w:eastAsia="仿宋_GB2312"/>
        </w:rPr>
        <w:t>建立分级责任管控</w:t>
      </w:r>
      <w:r>
        <w:rPr>
          <w:rFonts w:hint="eastAsia" w:ascii="仿宋_GB2312" w:eastAsia="仿宋_GB2312"/>
          <w:lang w:eastAsia="zh-CN"/>
        </w:rPr>
        <w:t>机</w:t>
      </w:r>
      <w:r>
        <w:rPr>
          <w:rFonts w:hint="eastAsia" w:ascii="仿宋_GB2312" w:eastAsia="仿宋_GB2312"/>
        </w:rPr>
        <w:t>制，确保各项工作有序推进、落地见效</w:t>
      </w:r>
      <w:r>
        <w:rPr>
          <w:rFonts w:hint="eastAsia" w:ascii="仿宋_GB2312" w:eastAsia="仿宋_GB2312"/>
          <w:lang w:eastAsia="zh-CN"/>
        </w:rPr>
        <w:t>。</w:t>
      </w:r>
      <w:r>
        <w:rPr>
          <w:rFonts w:hint="eastAsia" w:ascii="仿宋_GB2312" w:hAnsi="仿宋_GB2312" w:eastAsia="仿宋_GB2312" w:cs="仿宋_GB2312"/>
          <w:color w:val="000000"/>
          <w:szCs w:val="32"/>
          <w:shd w:val="clear" w:color="auto" w:fill="FFFFFF"/>
          <w:lang w:bidi="ar"/>
        </w:rPr>
        <w:t>2025年通过政府网站主动公开政府信息157条，比上年度下降1.87%，办理12345政府投诉热线455件，答复率100%。</w:t>
      </w:r>
      <w:r>
        <w:rPr>
          <w:rFonts w:hint="eastAsia" w:ascii="仿宋_GB2312" w:hAnsi="仿宋_GB2312" w:eastAsia="仿宋_GB2312" w:cs="仿宋_GB2312"/>
          <w:color w:val="000000"/>
          <w:szCs w:val="32"/>
          <w:shd w:val="clear" w:color="auto" w:fill="FFFFFF"/>
          <w:lang w:eastAsia="zh-CN" w:bidi="ar"/>
        </w:rPr>
        <w:t>及时</w:t>
      </w:r>
      <w:r>
        <w:rPr>
          <w:rFonts w:hint="eastAsia" w:ascii="仿宋_GB2312" w:hAnsi="仿宋_GB2312" w:eastAsia="仿宋_GB2312" w:cs="仿宋_GB2312"/>
          <w:color w:val="000000"/>
          <w:szCs w:val="32"/>
          <w:shd w:val="clear" w:color="auto" w:fill="FFFFFF"/>
          <w:lang w:bidi="ar"/>
        </w:rPr>
        <w:t>公开重点领域信息</w:t>
      </w:r>
      <w:r>
        <w:rPr>
          <w:rFonts w:hint="eastAsia" w:ascii="仿宋_GB2312" w:hAnsi="仿宋_GB2312" w:eastAsia="仿宋_GB2312" w:cs="仿宋_GB2312"/>
          <w:color w:val="000000"/>
          <w:szCs w:val="32"/>
          <w:shd w:val="clear" w:color="auto" w:fill="FFFFFF"/>
          <w:lang w:eastAsia="zh-CN" w:bidi="ar"/>
        </w:rPr>
        <w:t>，公开</w:t>
      </w:r>
      <w:r>
        <w:rPr>
          <w:rFonts w:hint="eastAsia" w:ascii="仿宋_GB2312" w:hAnsi="仿宋_GB2312" w:eastAsia="仿宋_GB2312" w:cs="仿宋_GB2312"/>
          <w:color w:val="000000"/>
          <w:szCs w:val="32"/>
          <w:shd w:val="clear" w:color="auto" w:fill="FFFFFF"/>
          <w:lang w:bidi="ar"/>
        </w:rPr>
        <w:t>城乡供水设施更新改造年度任务</w:t>
      </w:r>
      <w:r>
        <w:rPr>
          <w:rFonts w:hint="eastAsia" w:ascii="仿宋_GB2312" w:hAnsi="仿宋_GB2312" w:eastAsia="仿宋_GB2312" w:cs="仿宋_GB2312"/>
          <w:color w:val="000000"/>
          <w:szCs w:val="32"/>
          <w:shd w:val="clear" w:color="auto" w:fill="FFFFFF"/>
          <w:lang w:eastAsia="zh-CN" w:bidi="ar"/>
        </w:rPr>
        <w:t>、</w:t>
      </w:r>
      <w:r>
        <w:rPr>
          <w:rFonts w:hint="eastAsia" w:ascii="仿宋_GB2312" w:hAnsi="仿宋_GB2312" w:eastAsia="仿宋_GB2312" w:cs="仿宋_GB2312"/>
          <w:color w:val="000000"/>
          <w:szCs w:val="32"/>
          <w:shd w:val="clear" w:color="auto" w:fill="FFFFFF"/>
          <w:lang w:bidi="ar"/>
        </w:rPr>
        <w:t>改造老化供水管道</w:t>
      </w:r>
      <w:r>
        <w:rPr>
          <w:rFonts w:hint="eastAsia" w:ascii="仿宋_GB2312" w:hAnsi="仿宋_GB2312" w:eastAsia="仿宋_GB2312" w:cs="仿宋_GB2312"/>
          <w:color w:val="000000"/>
          <w:szCs w:val="32"/>
          <w:shd w:val="clear" w:color="auto" w:fill="FFFFFF"/>
          <w:lang w:eastAsia="zh-CN" w:bidi="ar"/>
        </w:rPr>
        <w:t>、</w:t>
      </w:r>
      <w:r>
        <w:rPr>
          <w:rFonts w:hint="eastAsia" w:ascii="仿宋_GB2312" w:hAnsi="仿宋_GB2312" w:eastAsia="仿宋_GB2312" w:cs="仿宋_GB2312"/>
          <w:color w:val="000000"/>
          <w:szCs w:val="32"/>
          <w:shd w:val="clear" w:color="auto" w:fill="FFFFFF"/>
          <w:lang w:bidi="ar"/>
        </w:rPr>
        <w:t>更换改造入户远传智能水表</w:t>
      </w:r>
      <w:r>
        <w:rPr>
          <w:rFonts w:hint="eastAsia" w:ascii="仿宋_GB2312" w:hAnsi="仿宋_GB2312" w:eastAsia="仿宋_GB2312" w:cs="仿宋_GB2312"/>
          <w:color w:val="000000"/>
          <w:szCs w:val="32"/>
          <w:shd w:val="clear" w:color="auto" w:fill="FFFFFF"/>
          <w:lang w:eastAsia="zh-CN" w:bidi="ar"/>
        </w:rPr>
        <w:t>信息</w:t>
      </w:r>
      <w:r>
        <w:rPr>
          <w:rFonts w:hint="eastAsia" w:ascii="仿宋_GB2312" w:hAnsi="仿宋_GB2312" w:eastAsia="仿宋_GB2312" w:cs="仿宋_GB2312"/>
          <w:color w:val="000000"/>
          <w:szCs w:val="32"/>
          <w:shd w:val="clear" w:color="auto" w:fill="FFFFFF"/>
          <w:lang w:bidi="ar"/>
        </w:rPr>
        <w:t>。</w:t>
      </w:r>
      <w:r>
        <w:rPr>
          <w:rFonts w:hint="eastAsia" w:ascii="仿宋_GB2312" w:hAnsi="仿宋_GB2312" w:eastAsia="仿宋_GB2312" w:cs="仿宋_GB2312"/>
          <w:color w:val="000000"/>
          <w:szCs w:val="32"/>
          <w:shd w:val="clear" w:color="auto" w:fill="FFFFFF"/>
          <w:lang w:eastAsia="zh-CN" w:bidi="ar"/>
        </w:rPr>
        <w:t>公开</w:t>
      </w:r>
      <w:r>
        <w:rPr>
          <w:rFonts w:hint="eastAsia" w:ascii="仿宋_GB2312" w:hAnsi="仿宋_GB2312" w:eastAsia="仿宋_GB2312" w:cs="仿宋_GB2312"/>
          <w:color w:val="000000"/>
          <w:szCs w:val="32"/>
          <w:shd w:val="clear" w:color="auto" w:fill="FFFFFF"/>
          <w:lang w:bidi="ar"/>
        </w:rPr>
        <w:t>建成投用中水回用工程</w:t>
      </w:r>
      <w:r>
        <w:rPr>
          <w:rFonts w:hint="eastAsia" w:ascii="仿宋_GB2312" w:hAnsi="仿宋_GB2312" w:eastAsia="仿宋_GB2312" w:cs="仿宋_GB2312"/>
          <w:color w:val="000000"/>
          <w:szCs w:val="32"/>
          <w:shd w:val="clear" w:color="auto" w:fill="FFFFFF"/>
          <w:lang w:eastAsia="zh-CN" w:bidi="ar"/>
        </w:rPr>
        <w:t>信息，</w:t>
      </w:r>
      <w:r>
        <w:rPr>
          <w:rFonts w:hint="eastAsia" w:ascii="仿宋_GB2312" w:hAnsi="仿宋_GB2312" w:eastAsia="仿宋_GB2312" w:cs="仿宋_GB2312"/>
          <w:color w:val="000000"/>
          <w:szCs w:val="32"/>
          <w:shd w:val="clear" w:color="auto" w:fill="FFFFFF"/>
          <w:lang w:bidi="ar"/>
        </w:rPr>
        <w:t>对芦湖水厂净水设施进行更换等年度重点工作按照时间要求进行公开</w:t>
      </w:r>
      <w:r>
        <w:rPr>
          <w:rFonts w:hint="eastAsia" w:ascii="仿宋_GB2312" w:hAnsi="仿宋_GB2312" w:eastAsia="仿宋_GB2312" w:cs="仿宋_GB2312"/>
          <w:color w:val="000000"/>
          <w:szCs w:val="32"/>
          <w:shd w:val="clear" w:color="auto" w:fill="FFFFFF"/>
          <w:lang w:eastAsia="zh-CN" w:bidi="ar"/>
        </w:rPr>
        <w:t>，</w:t>
      </w:r>
      <w:r>
        <w:rPr>
          <w:rFonts w:hint="eastAsia" w:ascii="仿宋_GB2312" w:eastAsia="仿宋_GB2312"/>
        </w:rPr>
        <w:t>督促高青青源水务有限公司动态更新公开清单，重点公开机构设置、服务指南、收费标准、便民热线等信息</w:t>
      </w:r>
      <w:r>
        <w:rPr>
          <w:rFonts w:hint="eastAsia" w:ascii="仿宋_GB2312" w:eastAsia="仿宋_GB2312"/>
          <w:lang w:eastAsia="zh-CN"/>
        </w:rPr>
        <w:t>，</w:t>
      </w:r>
      <w:r>
        <w:rPr>
          <w:rFonts w:hint="eastAsia" w:ascii="仿宋_GB2312" w:hAnsi="仿宋_GB2312" w:eastAsia="仿宋_GB2312" w:cs="仿宋_GB2312"/>
          <w:color w:val="000000"/>
          <w:szCs w:val="32"/>
          <w:shd w:val="clear" w:color="auto" w:fill="FFFFFF"/>
          <w:lang w:bidi="ar"/>
        </w:rPr>
        <w:t>满足群众需求。</w:t>
      </w:r>
    </w:p>
    <w:p w14:paraId="49D2ED2C">
      <w:pPr>
        <w:widowControl/>
        <w:jc w:val="left"/>
        <w:rPr>
          <w:rFonts w:ascii="仿宋_GB2312" w:eastAsia="仿宋_GB2312"/>
        </w:rPr>
      </w:pPr>
      <w:r>
        <w:rPr>
          <w:rFonts w:hint="eastAsia"/>
        </w:rPr>
        <w:drawing>
          <wp:inline distT="0" distB="0" distL="114300" distR="114300">
            <wp:extent cx="5256530" cy="2988310"/>
            <wp:effectExtent l="5080" t="4445" r="1524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0C25734">
      <w:pPr>
        <w:spacing w:line="600" w:lineRule="exact"/>
        <w:jc w:val="left"/>
        <w:rPr>
          <w:rFonts w:hint="eastAsia" w:ascii="楷体_GB2312" w:eastAsia="楷体_GB2312"/>
        </w:rPr>
      </w:pPr>
    </w:p>
    <w:p w14:paraId="24B23B45">
      <w:pPr>
        <w:spacing w:line="600" w:lineRule="exact"/>
        <w:jc w:val="left"/>
        <w:rPr>
          <w:rFonts w:hint="eastAsia" w:ascii="楷体_GB2312" w:eastAsia="楷体_GB2312"/>
        </w:rPr>
      </w:pPr>
    </w:p>
    <w:p w14:paraId="3BE19025">
      <w:pPr>
        <w:spacing w:line="600" w:lineRule="exact"/>
        <w:jc w:val="left"/>
        <w:rPr>
          <w:rFonts w:ascii="楷体_GB2312" w:eastAsia="楷体_GB2312"/>
        </w:rPr>
      </w:pPr>
      <w:r>
        <w:rPr>
          <w:rFonts w:hint="eastAsia" w:ascii="楷体_GB2312" w:eastAsia="楷体_GB2312"/>
        </w:rPr>
        <w:t>（二）依申请公开</w:t>
      </w:r>
    </w:p>
    <w:p w14:paraId="5763A924">
      <w:pPr>
        <w:spacing w:line="560" w:lineRule="exact"/>
        <w:ind w:firstLine="640" w:firstLineChars="200"/>
        <w:jc w:val="left"/>
        <w:rPr>
          <w:rFonts w:ascii="仿宋_GB2312" w:eastAsia="仿宋_GB2312"/>
        </w:rPr>
      </w:pPr>
      <w:r>
        <w:rPr>
          <w:rFonts w:hint="eastAsia" w:ascii="仿宋_GB2312" w:eastAsia="仿宋_GB2312"/>
        </w:rPr>
        <w:t>创新“分级分类处置”模式，按事项类型分简单、复杂、疑难三类，分类快速办结、多科室联动、专题会商研判，确保公开合规且贴合需求。</w:t>
      </w:r>
      <w:r>
        <w:rPr>
          <w:rFonts w:hint="eastAsia" w:ascii="仿宋_GB2312" w:eastAsia="仿宋_GB2312"/>
          <w:szCs w:val="32"/>
        </w:rPr>
        <w:t>2025年共收到政府信息公开申请1件，与上年度持平，申请内容主要涉及地下水领域。作出政府信息公开申请答复1件，其中无法提供1件。依申请公开政府信息未收取任何费用。未因政府信息公开被申请行政复议、提起行政诉讼。</w:t>
      </w:r>
    </w:p>
    <w:p w14:paraId="255CB1C8">
      <w:pPr>
        <w:spacing w:line="600" w:lineRule="exact"/>
        <w:jc w:val="left"/>
        <w:rPr>
          <w:rFonts w:ascii="楷体_GB2312" w:eastAsia="楷体_GB2312"/>
        </w:rPr>
      </w:pPr>
      <w:r>
        <w:rPr>
          <w:rFonts w:hint="eastAsia" w:ascii="楷体_GB2312" w:eastAsia="楷体_GB2312"/>
        </w:rPr>
        <w:t>（三）政府信息管理</w:t>
      </w:r>
    </w:p>
    <w:p w14:paraId="701D081D">
      <w:pPr>
        <w:spacing w:line="560" w:lineRule="exact"/>
        <w:ind w:firstLine="640" w:firstLineChars="200"/>
        <w:jc w:val="left"/>
        <w:rPr>
          <w:rFonts w:ascii="仿宋_GB2312" w:eastAsia="仿宋_GB2312"/>
        </w:rPr>
      </w:pPr>
      <w:r>
        <w:rPr>
          <w:rFonts w:hint="eastAsia" w:ascii="仿宋_GB2312" w:eastAsia="仿宋_GB2312"/>
        </w:rPr>
        <w:t>扎实推进公共企事业单位信息公开。督促高青青源水务有限公司动态更新公开清单，重点公开机构设置、服务指南、收费标准、便民热线等信息</w:t>
      </w:r>
      <w:r>
        <w:rPr>
          <w:rFonts w:hint="eastAsia" w:ascii="仿宋_GB2312" w:eastAsia="仿宋_GB2312"/>
          <w:lang w:eastAsia="zh-CN"/>
        </w:rPr>
        <w:t>。</w:t>
      </w:r>
      <w:r>
        <w:rPr>
          <w:rFonts w:hint="eastAsia" w:ascii="仿宋_GB2312" w:eastAsia="仿宋_GB2312"/>
        </w:rPr>
        <w:t>坚持保密审查前置，严格执行“起草审核—保密审查—分管签发—发布归档”流程，全年未发生失密涉密问题。</w:t>
      </w:r>
    </w:p>
    <w:p w14:paraId="24CD4529">
      <w:pPr>
        <w:spacing w:line="600" w:lineRule="exact"/>
        <w:jc w:val="left"/>
        <w:rPr>
          <w:rFonts w:ascii="楷体_GB2312" w:eastAsia="楷体_GB2312"/>
        </w:rPr>
      </w:pPr>
      <w:r>
        <w:rPr>
          <w:rFonts w:hint="eastAsia" w:ascii="楷体_GB2312" w:eastAsia="楷体_GB2312"/>
        </w:rPr>
        <w:t>（四）政府信息公开平台建设</w:t>
      </w:r>
    </w:p>
    <w:p w14:paraId="71E2FCD9">
      <w:pPr>
        <w:spacing w:line="560" w:lineRule="exact"/>
        <w:jc w:val="left"/>
        <w:rPr>
          <w:rFonts w:ascii="仿宋_GB2312" w:eastAsia="仿宋_GB2312"/>
        </w:rPr>
      </w:pPr>
      <w:r>
        <w:rPr>
          <w:rFonts w:hint="eastAsia" w:ascii="仿宋_GB2312" w:eastAsia="仿宋_GB2312"/>
        </w:rPr>
        <w:t>本年度在政府网站中新开设政府开放活动栏目，全过程公开开放活动，增强政府透明度。为政务公开专区配置设备，提供信息查询、依申请等服务，专人管理，定期更新资料，确保信息及时准确，方便群众获取。</w:t>
      </w:r>
    </w:p>
    <w:p w14:paraId="2C0B118F">
      <w:pPr>
        <w:spacing w:line="600" w:lineRule="exact"/>
        <w:jc w:val="left"/>
        <w:rPr>
          <w:rFonts w:ascii="楷体_GB2312" w:eastAsia="楷体_GB2312"/>
        </w:rPr>
      </w:pPr>
      <w:r>
        <w:rPr>
          <w:rFonts w:hint="eastAsia" w:ascii="楷体_GB2312" w:eastAsia="楷体_GB2312"/>
        </w:rPr>
        <w:t>（五）监督保障</w:t>
      </w:r>
    </w:p>
    <w:p w14:paraId="3FAD7730">
      <w:pPr>
        <w:spacing w:line="560" w:lineRule="exact"/>
        <w:ind w:firstLine="640" w:firstLineChars="200"/>
        <w:rPr>
          <w:rFonts w:hint="eastAsia" w:ascii="黑体" w:hAnsi="黑体" w:eastAsia="黑体"/>
          <w:sz w:val="30"/>
          <w:szCs w:val="30"/>
        </w:rPr>
      </w:pPr>
      <w:r>
        <w:rPr>
          <w:rFonts w:hint="eastAsia" w:ascii="仿宋_GB2312" w:eastAsia="仿宋_GB2312"/>
        </w:rPr>
        <w:t>扎实推进政府信息公开监督指导工作，筑牢工作根基。建立“日常检查+季度督查+年终考核”闭环机制，将公开工作纳入年度绩效考核，定期召开会议排查整改公开不及时、内容不规范等问题。局办公室主要负责政务公开工作，配备专职人员1名，兼职人员1名。培训开展方面，聚焦公开目录编制、依申请公开办理、保密审查等重点内容，组织开展2次专项业务培训。</w:t>
      </w:r>
    </w:p>
    <w:p w14:paraId="36A3BFA7">
      <w:pPr>
        <w:spacing w:after="156" w:afterLines="50" w:line="240" w:lineRule="auto"/>
        <w:ind w:firstLine="0"/>
        <w:rPr>
          <w:rFonts w:ascii="黑体" w:hAnsi="黑体" w:eastAsia="黑体"/>
          <w:szCs w:val="32"/>
        </w:rPr>
      </w:pPr>
    </w:p>
    <w:p w14:paraId="591032E8">
      <w:pPr>
        <w:spacing w:after="156" w:afterLines="50" w:line="240" w:lineRule="auto"/>
        <w:ind w:firstLine="640" w:firstLineChars="200"/>
        <w:rPr>
          <w:rFonts w:hint="eastAsia" w:ascii="黑体" w:hAnsi="黑体" w:eastAsia="黑体"/>
          <w:szCs w:val="32"/>
        </w:rPr>
      </w:pPr>
      <w:r>
        <w:rPr>
          <w:rFonts w:hint="eastAsia" w:ascii="黑体" w:hAnsi="黑体" w:eastAsia="黑体"/>
          <w:szCs w:val="32"/>
        </w:rPr>
        <w:t>二、主动公开政府信息情况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41CB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D7DE51E">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第二十条第（一）项</w:t>
            </w:r>
          </w:p>
        </w:tc>
      </w:tr>
      <w:tr w14:paraId="3C2E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8E8A3E7">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4FE49AAD">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100EBCD0">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206E2280">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5E81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5359230">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03362BAF">
            <w:pPr>
              <w:spacing w:line="240" w:lineRule="auto"/>
              <w:ind w:firstLine="0"/>
              <w:jc w:val="center"/>
              <w:rPr>
                <w:rFonts w:hint="eastAsia" w:ascii="黑体" w:hAnsi="黑体" w:eastAsia="黑体"/>
                <w:sz w:val="20"/>
              </w:rPr>
            </w:pPr>
            <w:r>
              <w:rPr>
                <w:rFonts w:hint="eastAsia" w:ascii="黑体" w:hAnsi="黑体" w:eastAsia="黑体"/>
                <w:sz w:val="20"/>
              </w:rPr>
              <w:t>0</w:t>
            </w:r>
          </w:p>
        </w:tc>
        <w:tc>
          <w:tcPr>
            <w:tcW w:w="2131" w:type="dxa"/>
            <w:vAlign w:val="center"/>
          </w:tcPr>
          <w:p w14:paraId="50368FCC">
            <w:pPr>
              <w:spacing w:line="240" w:lineRule="auto"/>
              <w:ind w:firstLine="0"/>
              <w:jc w:val="center"/>
              <w:rPr>
                <w:rFonts w:hint="eastAsia" w:ascii="黑体" w:hAnsi="黑体" w:eastAsia="黑体"/>
                <w:sz w:val="20"/>
              </w:rPr>
            </w:pPr>
            <w:r>
              <w:rPr>
                <w:rFonts w:hint="eastAsia" w:ascii="黑体" w:hAnsi="黑体" w:eastAsia="黑体"/>
                <w:sz w:val="20"/>
              </w:rPr>
              <w:t>0</w:t>
            </w:r>
          </w:p>
        </w:tc>
        <w:tc>
          <w:tcPr>
            <w:tcW w:w="2131" w:type="dxa"/>
            <w:vAlign w:val="center"/>
          </w:tcPr>
          <w:p w14:paraId="583759EE">
            <w:pPr>
              <w:spacing w:line="240" w:lineRule="auto"/>
              <w:ind w:firstLine="0"/>
              <w:jc w:val="center"/>
              <w:rPr>
                <w:rFonts w:hint="eastAsia" w:ascii="黑体" w:hAnsi="黑体" w:eastAsia="黑体"/>
                <w:sz w:val="20"/>
              </w:rPr>
            </w:pPr>
            <w:r>
              <w:rPr>
                <w:rFonts w:hint="eastAsia" w:ascii="黑体" w:hAnsi="黑体" w:eastAsia="黑体"/>
                <w:sz w:val="20"/>
              </w:rPr>
              <w:t>0</w:t>
            </w:r>
          </w:p>
        </w:tc>
      </w:tr>
      <w:tr w14:paraId="5AD3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7B9424A">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5930ED31">
            <w:pPr>
              <w:spacing w:line="240" w:lineRule="auto"/>
              <w:ind w:firstLine="0"/>
              <w:jc w:val="center"/>
              <w:rPr>
                <w:rFonts w:hint="eastAsia" w:ascii="黑体" w:hAnsi="黑体" w:eastAsia="黑体"/>
                <w:sz w:val="20"/>
              </w:rPr>
            </w:pPr>
            <w:r>
              <w:rPr>
                <w:rFonts w:hint="eastAsia" w:ascii="黑体" w:hAnsi="黑体" w:eastAsia="黑体"/>
                <w:sz w:val="20"/>
              </w:rPr>
              <w:t>0</w:t>
            </w:r>
          </w:p>
        </w:tc>
        <w:tc>
          <w:tcPr>
            <w:tcW w:w="2131" w:type="dxa"/>
            <w:vAlign w:val="center"/>
          </w:tcPr>
          <w:p w14:paraId="4508689C">
            <w:pPr>
              <w:spacing w:line="240" w:lineRule="auto"/>
              <w:ind w:firstLine="0"/>
              <w:jc w:val="center"/>
              <w:rPr>
                <w:rFonts w:hint="eastAsia" w:ascii="黑体" w:hAnsi="黑体" w:eastAsia="黑体"/>
                <w:sz w:val="20"/>
              </w:rPr>
            </w:pPr>
            <w:r>
              <w:rPr>
                <w:rFonts w:hint="eastAsia" w:ascii="黑体" w:hAnsi="黑体" w:eastAsia="黑体"/>
                <w:sz w:val="20"/>
              </w:rPr>
              <w:t>0</w:t>
            </w:r>
          </w:p>
        </w:tc>
        <w:tc>
          <w:tcPr>
            <w:tcW w:w="2131" w:type="dxa"/>
            <w:vAlign w:val="center"/>
          </w:tcPr>
          <w:p w14:paraId="6EA21384">
            <w:pPr>
              <w:spacing w:line="240" w:lineRule="auto"/>
              <w:ind w:firstLine="0"/>
              <w:jc w:val="center"/>
              <w:rPr>
                <w:rFonts w:hint="eastAsia" w:ascii="黑体" w:hAnsi="黑体" w:eastAsia="黑体"/>
                <w:sz w:val="20"/>
              </w:rPr>
            </w:pPr>
            <w:r>
              <w:rPr>
                <w:rFonts w:hint="eastAsia" w:ascii="黑体" w:hAnsi="黑体" w:eastAsia="黑体"/>
                <w:sz w:val="20"/>
              </w:rPr>
              <w:t>0</w:t>
            </w:r>
          </w:p>
        </w:tc>
      </w:tr>
      <w:tr w14:paraId="33F4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061021FD">
            <w:pPr>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77C5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A60734D">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7134203E">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本年处理决定数量</w:t>
            </w:r>
          </w:p>
        </w:tc>
      </w:tr>
      <w:tr w14:paraId="12D7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FCD67AD">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060F4506">
            <w:pPr>
              <w:spacing w:line="240" w:lineRule="auto"/>
              <w:ind w:firstLine="0"/>
              <w:jc w:val="center"/>
              <w:rPr>
                <w:rFonts w:hint="eastAsia" w:ascii="黑体" w:hAnsi="黑体" w:eastAsia="黑体"/>
                <w:sz w:val="20"/>
              </w:rPr>
            </w:pPr>
            <w:r>
              <w:rPr>
                <w:rFonts w:hint="eastAsia" w:ascii="黑体" w:hAnsi="黑体" w:eastAsia="黑体"/>
                <w:sz w:val="20"/>
              </w:rPr>
              <w:t>0</w:t>
            </w:r>
          </w:p>
        </w:tc>
      </w:tr>
      <w:tr w14:paraId="4889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4BB17B8">
            <w:pPr>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6DB4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F1F0CDD">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153D5A0C">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本年处理决定数量</w:t>
            </w:r>
          </w:p>
        </w:tc>
      </w:tr>
      <w:tr w14:paraId="4A7F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5B7A71B">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14:paraId="6192742C">
            <w:pPr>
              <w:spacing w:line="240" w:lineRule="auto"/>
              <w:ind w:firstLine="0"/>
              <w:jc w:val="center"/>
              <w:rPr>
                <w:rFonts w:hint="eastAsia" w:ascii="黑体" w:hAnsi="黑体" w:eastAsia="黑体"/>
                <w:sz w:val="20"/>
              </w:rPr>
            </w:pPr>
            <w:r>
              <w:rPr>
                <w:rFonts w:hint="eastAsia" w:ascii="黑体" w:hAnsi="黑体" w:eastAsia="黑体"/>
                <w:sz w:val="20"/>
              </w:rPr>
              <w:t>3</w:t>
            </w:r>
          </w:p>
        </w:tc>
      </w:tr>
      <w:tr w14:paraId="622F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0077EC3">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14:paraId="5A96B1CA">
            <w:pPr>
              <w:spacing w:line="240" w:lineRule="auto"/>
              <w:ind w:firstLine="0"/>
              <w:jc w:val="center"/>
              <w:rPr>
                <w:rFonts w:hint="eastAsia" w:ascii="黑体" w:hAnsi="黑体" w:eastAsia="黑体"/>
                <w:sz w:val="20"/>
              </w:rPr>
            </w:pPr>
            <w:r>
              <w:rPr>
                <w:rFonts w:hint="eastAsia" w:ascii="黑体" w:hAnsi="黑体" w:eastAsia="黑体"/>
                <w:sz w:val="20"/>
              </w:rPr>
              <w:t>0</w:t>
            </w:r>
          </w:p>
        </w:tc>
      </w:tr>
      <w:tr w14:paraId="041A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34E763C">
            <w:pPr>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47F0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354963F">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2F14B1A6">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本年收费金额（单位：万元）</w:t>
            </w:r>
          </w:p>
        </w:tc>
      </w:tr>
      <w:tr w14:paraId="57CB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D661296">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2FE3F8C8">
            <w:pPr>
              <w:spacing w:line="240" w:lineRule="auto"/>
              <w:ind w:firstLine="0"/>
              <w:jc w:val="center"/>
              <w:rPr>
                <w:rFonts w:hint="eastAsia" w:ascii="黑体" w:hAnsi="黑体" w:eastAsia="黑体"/>
                <w:sz w:val="20"/>
              </w:rPr>
            </w:pPr>
            <w:r>
              <w:rPr>
                <w:rFonts w:hint="eastAsia" w:ascii="黑体" w:hAnsi="黑体" w:eastAsia="黑体"/>
                <w:sz w:val="20"/>
              </w:rPr>
              <w:t>0</w:t>
            </w:r>
          </w:p>
        </w:tc>
      </w:tr>
    </w:tbl>
    <w:p w14:paraId="4465E204">
      <w:pPr>
        <w:spacing w:line="240" w:lineRule="auto"/>
        <w:ind w:firstLine="0"/>
        <w:rPr>
          <w:rFonts w:hint="eastAsia" w:ascii="黑体" w:hAnsi="黑体" w:eastAsia="黑体"/>
          <w:sz w:val="30"/>
          <w:szCs w:val="30"/>
        </w:rPr>
      </w:pPr>
    </w:p>
    <w:p w14:paraId="139C92D7">
      <w:pPr>
        <w:spacing w:line="240" w:lineRule="auto"/>
        <w:ind w:firstLine="0"/>
        <w:rPr>
          <w:rFonts w:hint="eastAsia" w:ascii="黑体" w:hAnsi="黑体" w:eastAsia="黑体"/>
          <w:sz w:val="30"/>
          <w:szCs w:val="30"/>
        </w:rPr>
      </w:pPr>
    </w:p>
    <w:p w14:paraId="78B9FE58">
      <w:pPr>
        <w:spacing w:line="240" w:lineRule="auto"/>
        <w:ind w:firstLine="0"/>
        <w:rPr>
          <w:rFonts w:hint="eastAsia" w:ascii="黑体" w:hAnsi="黑体" w:eastAsia="黑体"/>
          <w:sz w:val="30"/>
          <w:szCs w:val="30"/>
        </w:rPr>
      </w:pPr>
    </w:p>
    <w:p w14:paraId="125F77AC">
      <w:pPr>
        <w:spacing w:line="240" w:lineRule="auto"/>
        <w:ind w:firstLine="0"/>
        <w:rPr>
          <w:rFonts w:hint="eastAsia" w:ascii="黑体" w:hAnsi="黑体" w:eastAsia="黑体"/>
          <w:sz w:val="30"/>
          <w:szCs w:val="30"/>
        </w:rPr>
      </w:pPr>
    </w:p>
    <w:p w14:paraId="737EC524">
      <w:pPr>
        <w:spacing w:line="240" w:lineRule="auto"/>
        <w:ind w:firstLine="0"/>
        <w:rPr>
          <w:rFonts w:hint="eastAsia" w:ascii="黑体" w:hAnsi="黑体" w:eastAsia="黑体"/>
          <w:sz w:val="30"/>
          <w:szCs w:val="30"/>
        </w:rPr>
      </w:pPr>
    </w:p>
    <w:p w14:paraId="615DF71A">
      <w:pPr>
        <w:spacing w:line="240" w:lineRule="auto"/>
        <w:ind w:firstLine="0"/>
        <w:rPr>
          <w:rFonts w:hint="eastAsia" w:ascii="黑体" w:hAnsi="黑体" w:eastAsia="黑体"/>
          <w:sz w:val="30"/>
          <w:szCs w:val="30"/>
        </w:rPr>
      </w:pPr>
    </w:p>
    <w:p w14:paraId="35593827">
      <w:pPr>
        <w:spacing w:after="156" w:afterLines="50" w:line="240" w:lineRule="auto"/>
        <w:ind w:firstLine="640" w:firstLineChars="200"/>
        <w:rPr>
          <w:rFonts w:hint="eastAsia" w:ascii="黑体" w:hAnsi="黑体" w:eastAsia="黑体"/>
          <w:szCs w:val="32"/>
        </w:rPr>
      </w:pPr>
      <w:r>
        <w:rPr>
          <w:rFonts w:hint="eastAsia" w:ascii="黑体" w:hAnsi="黑体" w:eastAsia="黑体"/>
          <w:szCs w:val="32"/>
        </w:rPr>
        <w:t>三、收到和处理政府信息公开申请情况</w:t>
      </w:r>
    </w:p>
    <w:tbl>
      <w:tblPr>
        <w:tblStyle w:val="4"/>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7BE12723">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3ACBFD32">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EBD3683">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申请人情况</w:t>
            </w:r>
          </w:p>
        </w:tc>
      </w:tr>
      <w:tr w14:paraId="56976BEC">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07A76AF8">
            <w:pPr>
              <w:widowControl/>
              <w:autoSpaceDE/>
              <w:autoSpaceDN/>
              <w:snapToGrid/>
              <w:spacing w:line="240" w:lineRule="auto"/>
              <w:ind w:firstLine="0"/>
              <w:jc w:val="left"/>
              <w:rPr>
                <w:rFonts w:hint="eastAsia"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3CBF6C4F">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6AADFB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3455B1EC">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总计</w:t>
            </w:r>
          </w:p>
        </w:tc>
      </w:tr>
      <w:tr w14:paraId="3164F437">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0A1417A0">
            <w:pPr>
              <w:widowControl/>
              <w:autoSpaceDE/>
              <w:autoSpaceDN/>
              <w:snapToGrid/>
              <w:spacing w:line="240" w:lineRule="auto"/>
              <w:ind w:firstLine="0"/>
              <w:jc w:val="left"/>
              <w:rPr>
                <w:rFonts w:hint="eastAsia"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3FDB1544">
            <w:pPr>
              <w:widowControl/>
              <w:autoSpaceDE/>
              <w:autoSpaceDN/>
              <w:snapToGrid/>
              <w:spacing w:line="240" w:lineRule="auto"/>
              <w:ind w:firstLine="0"/>
              <w:jc w:val="left"/>
              <w:rPr>
                <w:rFonts w:hint="eastAsia"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CB97C3">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商业</w:t>
            </w:r>
          </w:p>
          <w:p w14:paraId="6789E74F">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7BA8E0">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科研</w:t>
            </w:r>
          </w:p>
          <w:p w14:paraId="130A77C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3A22EC4">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FE8D963">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2E8900B">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1EEAD11C">
            <w:pPr>
              <w:widowControl/>
              <w:autoSpaceDE/>
              <w:autoSpaceDN/>
              <w:snapToGrid/>
              <w:spacing w:line="240" w:lineRule="auto"/>
              <w:ind w:firstLine="0"/>
              <w:jc w:val="left"/>
              <w:rPr>
                <w:rFonts w:hint="eastAsia" w:ascii="宋体" w:hAnsi="宋体" w:eastAsia="宋体" w:cs="宋体"/>
                <w:snapToGrid/>
                <w:sz w:val="24"/>
                <w:szCs w:val="24"/>
              </w:rPr>
            </w:pPr>
          </w:p>
        </w:tc>
      </w:tr>
      <w:tr w14:paraId="69B394B6">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8F9C20B">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95CE39">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1563AF">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9DF788">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82DF6C6">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660BFA8">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A54C93">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8777441">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1</w:t>
            </w:r>
            <w:r>
              <w:rPr>
                <w:rFonts w:ascii="Calibri" w:hAnsi="Calibri" w:eastAsia="宋体" w:cs="Calibri"/>
                <w:snapToGrid/>
                <w:sz w:val="20"/>
              </w:rPr>
              <w:t> </w:t>
            </w:r>
          </w:p>
        </w:tc>
      </w:tr>
      <w:tr w14:paraId="58AC0D6F">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95D05AD">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AF857A">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A08C0A">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22912B4">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CBF70A2">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750F09C">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2B70E1">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8964A46">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14:paraId="7F320A1D">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5B8C4964">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2FE87B03">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4C3FB55">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D8DAC2A">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12C19D">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D9A95B4">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E6DE2FE">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8AA2ADB">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33ABB59">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1E808CE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DBAF100">
            <w:pPr>
              <w:widowControl/>
              <w:autoSpaceDE/>
              <w:autoSpaceDN/>
              <w:snapToGrid/>
              <w:spacing w:line="240" w:lineRule="auto"/>
              <w:ind w:firstLine="0"/>
              <w:jc w:val="left"/>
              <w:rPr>
                <w:rFonts w:hint="eastAsia"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47BC5E26">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074A6C8">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2F0B5E">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D3DE47">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C032E6B">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118BCE6">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D13B17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78C5AB4">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7D32162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4A92CEA">
            <w:pPr>
              <w:widowControl/>
              <w:autoSpaceDE/>
              <w:autoSpaceDN/>
              <w:snapToGrid/>
              <w:spacing w:line="240" w:lineRule="auto"/>
              <w:ind w:firstLine="0"/>
              <w:jc w:val="left"/>
              <w:rPr>
                <w:rFonts w:hint="eastAsia"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92CE80C">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ACEE26F">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DD1A081">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E074915">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8B8AC3">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C573666">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8CEE5E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56E30C">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4514788">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14:paraId="43A971F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587D525">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708A84F">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22DBD8F">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FCDEF24">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A5C09E7">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F4A3E1">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F3FDB15">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FC4A7A5">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66037E3">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44CDC3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14:paraId="00BFF04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685E2ED">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95F81E6">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00752AA">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3FAEBC6">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33BE41">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816ADB5">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91300C0">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910934E">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BEFCABC">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9417F5E">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7343AE1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E726175">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511BB24">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445401F">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FB9E29E">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9379CE4">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58ABA56">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61B311C">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C37DE07">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4DB119">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D8FDDFA">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47C7880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67B76C4">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987E3CA">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D3AAB20">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EC3D64C">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00FC33">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D7FB28">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2CB0413">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1681EE0">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754647">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815CF8A">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47C29BF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CBA0C12">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86DE9BB">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BAC6095">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F021011">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D2F3124">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67D318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BE20732">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93AEC5F">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8ABEDF">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9C939FE">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1A49523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FE632A4">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D31843D">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FAAD6A7">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7F98AE1">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B5194C8">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C59B97">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EEECF04">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A889A28">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8EB1DF">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E4A7A79">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4B71C75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9E3F528">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940A599">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01D9C8D">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B0B8904">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943658">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F5AA48">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F925D9A">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D1DC7CB">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86917B">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7881A9D">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5B9DB41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6F900F6">
            <w:pPr>
              <w:widowControl/>
              <w:autoSpaceDE/>
              <w:autoSpaceDN/>
              <w:snapToGrid/>
              <w:spacing w:line="240" w:lineRule="auto"/>
              <w:ind w:firstLine="0"/>
              <w:jc w:val="left"/>
              <w:rPr>
                <w:rFonts w:hint="eastAsia"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79A6CB95">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EDD1AC1">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35808E6">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35A2E87">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B7DC1D">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984341A">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FCFB50B">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E613A8B">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30FAE48">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1</w:t>
            </w:r>
          </w:p>
        </w:tc>
      </w:tr>
      <w:tr w14:paraId="63C2CEB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C125EBF">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7C9AC69">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EE82EFC">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C5F3051">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CD8B2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6087EC">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44B5575">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91A327C">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D0F95BD">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9F05392">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05408AF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3806785">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0101F87">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5963915">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F18DFEE">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536656">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899F8C">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4BAA171">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6D02EE4">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BA39533">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D9FC475">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14:paraId="744A0DF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81F934D">
            <w:pPr>
              <w:widowControl/>
              <w:autoSpaceDE/>
              <w:autoSpaceDN/>
              <w:snapToGrid/>
              <w:spacing w:line="240" w:lineRule="auto"/>
              <w:ind w:firstLine="0"/>
              <w:jc w:val="left"/>
              <w:rPr>
                <w:rFonts w:hint="eastAsia"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0E62B097">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B1D4C7F">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E0C9475">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A80AC5">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0B1FF3B">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7996834">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33F70B4">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3D36CC1">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0FFE6E8">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60D6CA6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807E6EC">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232D7B5">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38A0AC7">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1CC4DD5">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5D2C08B">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315802">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D0A1173">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64C68FC">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C6436EE">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B9C28D1">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188A8E6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B1F50E5">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B6F309D">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3A8E58E">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17B4F6E">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2A2F672">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D531D5">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DE5779E">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72ACDED">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02ADBA8">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7399EB7">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6B39339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686AB11">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75D58E2">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327A84C">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3704F6B">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A36D41">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6A2FEA0">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60F19D0">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C5E2AA9">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977708">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4BE1504">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14:paraId="382E3392">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0C7DDCDD">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38EC10F">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26912DD3">
            <w:pPr>
              <w:widowControl/>
              <w:autoSpaceDE/>
              <w:autoSpaceDN/>
              <w:snapToGrid/>
              <w:spacing w:line="240" w:lineRule="auto"/>
              <w:ind w:firstLine="0"/>
              <w:rPr>
                <w:rFonts w:hint="eastAsia"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2A97B52C">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90E1155">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4BBBB422">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7AFA566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70D20715">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4466A418">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30B2031D">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1B30AC1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F7D3F2E">
            <w:pPr>
              <w:widowControl/>
              <w:autoSpaceDE/>
              <w:autoSpaceDN/>
              <w:snapToGrid/>
              <w:spacing w:line="240" w:lineRule="auto"/>
              <w:ind w:firstLine="0"/>
              <w:jc w:val="left"/>
              <w:rPr>
                <w:rFonts w:hint="eastAsia"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62EDAB10">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2C87F78">
            <w:pPr>
              <w:widowControl/>
              <w:autoSpaceDE/>
              <w:autoSpaceDN/>
              <w:snapToGrid/>
              <w:spacing w:line="240" w:lineRule="auto"/>
              <w:ind w:firstLine="0"/>
              <w:rPr>
                <w:rFonts w:hint="eastAsia"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CF05B1">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11A551B">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3FC5BF">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B922186">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01D1CAC">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E1CA3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C17E172">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70FF591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5474B8B">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0B29F522">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3ADC076">
            <w:pPr>
              <w:widowControl/>
              <w:autoSpaceDE/>
              <w:autoSpaceDN/>
              <w:snapToGrid/>
              <w:spacing w:line="240" w:lineRule="auto"/>
              <w:ind w:firstLine="0"/>
              <w:rPr>
                <w:rFonts w:hint="eastAsia"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BBD6807">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4CA35E">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242A49">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D7703E5">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9DD25B6">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3FC6F77">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64CF27C">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14:paraId="1032D8A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F0A6DC1">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1E212BDB">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799C2082">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5982504">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8D10C27">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CC1E31">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FAF1877">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B4A5ED5">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24BD70">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F844408">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4499E83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9AE27F5">
            <w:pPr>
              <w:widowControl/>
              <w:autoSpaceDE/>
              <w:autoSpaceDN/>
              <w:snapToGrid/>
              <w:spacing w:line="240" w:lineRule="auto"/>
              <w:ind w:firstLine="0"/>
              <w:jc w:val="left"/>
              <w:rPr>
                <w:rFonts w:hint="eastAsia"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93F98B3">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7D1FBCC">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DB582D2">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689797">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28C6BE0">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013390E">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C80AF45">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FD0B41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1</w:t>
            </w:r>
          </w:p>
        </w:tc>
      </w:tr>
      <w:tr w14:paraId="14475812">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5F6F5F19">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EA0345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305143E">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E68D87">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BD04963">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09C3089">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2FEBBE1">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17A84D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p>
        </w:tc>
      </w:tr>
    </w:tbl>
    <w:p w14:paraId="100A58D9">
      <w:pPr>
        <w:spacing w:line="240" w:lineRule="auto"/>
        <w:ind w:firstLine="600" w:firstLineChars="200"/>
        <w:rPr>
          <w:rFonts w:hint="eastAsia" w:ascii="黑体" w:hAnsi="黑体" w:eastAsia="黑体"/>
          <w:sz w:val="30"/>
          <w:szCs w:val="30"/>
        </w:rPr>
      </w:pPr>
    </w:p>
    <w:p w14:paraId="77FF3A0C">
      <w:pPr>
        <w:spacing w:after="156" w:afterLines="50" w:line="240" w:lineRule="auto"/>
        <w:ind w:firstLine="640" w:firstLineChars="200"/>
        <w:rPr>
          <w:rFonts w:hint="eastAsia" w:ascii="黑体" w:hAnsi="黑体" w:eastAsia="黑体"/>
          <w:sz w:val="30"/>
          <w:szCs w:val="30"/>
        </w:rPr>
      </w:pPr>
      <w:r>
        <w:rPr>
          <w:rFonts w:hint="eastAsia" w:ascii="黑体" w:hAnsi="黑体" w:eastAsia="黑体"/>
          <w:szCs w:val="32"/>
        </w:rPr>
        <w:t>四、政府信息公开行政复议、行政诉讼情况</w:t>
      </w:r>
    </w:p>
    <w:tbl>
      <w:tblPr>
        <w:tblStyle w:val="4"/>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3DC49F81">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62C790">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98E93B1">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行政诉讼</w:t>
            </w:r>
          </w:p>
        </w:tc>
      </w:tr>
      <w:tr w14:paraId="0E5F8704">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27E62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4B5ABFC">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893840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E3D54E3">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1EE7FD3">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5AAA90D">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F244B0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复议后起诉</w:t>
            </w:r>
          </w:p>
        </w:tc>
      </w:tr>
      <w:tr w14:paraId="1278D83D">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01CB69C4">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73A5385A">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46FBEB9">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DF48A82">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9728C1F">
            <w:pPr>
              <w:widowControl/>
              <w:autoSpaceDE/>
              <w:autoSpaceDN/>
              <w:snapToGrid/>
              <w:spacing w:line="240" w:lineRule="auto"/>
              <w:ind w:firstLine="0"/>
              <w:jc w:val="left"/>
              <w:rPr>
                <w:rFonts w:hint="eastAsia"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765482">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94D17F">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35DFE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DDBC143">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2921C73">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A5A6461">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8C9E024">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3A88511">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05BBA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DFD1E1C">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color w:val="000000"/>
                <w:sz w:val="20"/>
              </w:rPr>
              <w:t>总计</w:t>
            </w:r>
          </w:p>
        </w:tc>
      </w:tr>
      <w:tr w14:paraId="6AC11536">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10C5B40">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2157DD8">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8987E8">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0 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02FB137">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0AE4DF7">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9F1E567">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FFAA57D">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AB9D07">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B3EF9C">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0 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0FBF3E2">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CC8187E">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360691F">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4ADB1D1">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8B5374">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0 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0D4947">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4"/>
                <w:szCs w:val="24"/>
              </w:rPr>
              <w:t>0</w:t>
            </w:r>
          </w:p>
        </w:tc>
      </w:tr>
    </w:tbl>
    <w:p w14:paraId="0C57B287">
      <w:pPr>
        <w:spacing w:line="240" w:lineRule="auto"/>
        <w:ind w:firstLine="640" w:firstLineChars="200"/>
        <w:rPr>
          <w:rFonts w:hint="eastAsia" w:ascii="黑体" w:hAnsi="黑体" w:eastAsia="黑体"/>
          <w:szCs w:val="32"/>
        </w:rPr>
      </w:pPr>
    </w:p>
    <w:p w14:paraId="1B68ACD4">
      <w:pPr>
        <w:spacing w:line="560" w:lineRule="exact"/>
        <w:ind w:firstLine="640" w:firstLineChars="200"/>
        <w:rPr>
          <w:rFonts w:hint="eastAsia" w:ascii="黑体" w:hAnsi="黑体" w:eastAsia="黑体"/>
          <w:szCs w:val="32"/>
        </w:rPr>
      </w:pPr>
      <w:r>
        <w:rPr>
          <w:rFonts w:hint="eastAsia" w:ascii="黑体" w:hAnsi="黑体" w:eastAsia="黑体"/>
          <w:szCs w:val="32"/>
        </w:rPr>
        <w:t>五、存在的主要问题及改进情况</w:t>
      </w:r>
    </w:p>
    <w:p w14:paraId="19BAF4F2">
      <w:pPr>
        <w:spacing w:line="600" w:lineRule="exact"/>
        <w:jc w:val="left"/>
        <w:rPr>
          <w:rFonts w:hint="eastAsia" w:ascii="楷体_GB2312" w:eastAsia="楷体_GB2312"/>
        </w:rPr>
      </w:pPr>
      <w:r>
        <w:rPr>
          <w:rFonts w:hint="eastAsia" w:ascii="楷体_GB2312" w:eastAsia="楷体_GB2312"/>
        </w:rPr>
        <w:t>（一）存在问题</w:t>
      </w:r>
    </w:p>
    <w:p w14:paraId="345396AC">
      <w:pPr>
        <w:spacing w:line="560" w:lineRule="exact"/>
        <w:ind w:firstLine="640" w:firstLineChars="200"/>
        <w:rPr>
          <w:rFonts w:ascii="仿宋_GB2312" w:eastAsia="仿宋_GB2312"/>
        </w:rPr>
      </w:pPr>
      <w:r>
        <w:rPr>
          <w:rFonts w:hint="eastAsia" w:ascii="仿宋_GB2312" w:eastAsia="仿宋_GB2312"/>
        </w:rPr>
        <w:t>一是主动公开内容深度有待提升，部分重点领域信息发布不够详尽，解读</w:t>
      </w:r>
      <w:r>
        <w:rPr>
          <w:rFonts w:hint="eastAsia" w:ascii="仿宋_GB2312" w:eastAsia="仿宋_GB2312"/>
          <w:lang w:eastAsia="zh-CN"/>
        </w:rPr>
        <w:t>形式</w:t>
      </w:r>
      <w:r>
        <w:rPr>
          <w:rFonts w:hint="eastAsia" w:ascii="仿宋_GB2312" w:eastAsia="仿宋_GB2312"/>
        </w:rPr>
        <w:t>单一</w:t>
      </w:r>
      <w:r>
        <w:rPr>
          <w:rFonts w:hint="eastAsia" w:ascii="仿宋_GB2312" w:eastAsia="仿宋_GB2312"/>
          <w:lang w:eastAsia="zh-CN"/>
        </w:rPr>
        <w:t>不</w:t>
      </w:r>
      <w:r>
        <w:rPr>
          <w:rFonts w:hint="eastAsia" w:ascii="仿宋_GB2312" w:eastAsia="仿宋_GB2312"/>
        </w:rPr>
        <w:t>贴合群众需求。二是依申请公开办理精细化不够，疑难事项联动处置效率有待进一步提升。</w:t>
      </w:r>
    </w:p>
    <w:p w14:paraId="05C80527">
      <w:pPr>
        <w:spacing w:line="600" w:lineRule="exact"/>
        <w:jc w:val="left"/>
        <w:rPr>
          <w:rFonts w:hint="eastAsia" w:ascii="楷体_GB2312" w:eastAsia="楷体_GB2312"/>
        </w:rPr>
      </w:pPr>
      <w:r>
        <w:rPr>
          <w:rFonts w:hint="eastAsia" w:ascii="楷体_GB2312" w:eastAsia="楷体_GB2312"/>
        </w:rPr>
        <w:t>（二）改进情况</w:t>
      </w:r>
    </w:p>
    <w:p w14:paraId="657A5347">
      <w:pPr>
        <w:spacing w:line="560" w:lineRule="exact"/>
        <w:ind w:firstLine="640" w:firstLineChars="200"/>
        <w:rPr>
          <w:rFonts w:ascii="仿宋_GB2312" w:eastAsia="仿宋_GB2312"/>
        </w:rPr>
      </w:pPr>
      <w:r>
        <w:rPr>
          <w:rFonts w:hint="eastAsia" w:ascii="仿宋_GB2312" w:eastAsia="仿宋_GB2312"/>
        </w:rPr>
        <w:t>一是深化主动公开内容，细化重点领域公开事项，丰富政策解读多元形式，聚焦群众诉求优化公开内容。二是优化依申请公开办理流程，完善复杂问题协同处置流程，细化答复规范，提升办理精细化水平和处置效率。</w:t>
      </w:r>
    </w:p>
    <w:p w14:paraId="20D9A7C8">
      <w:pPr>
        <w:spacing w:line="560" w:lineRule="exact"/>
        <w:ind w:firstLine="640" w:firstLineChars="200"/>
        <w:rPr>
          <w:rFonts w:hint="eastAsia" w:ascii="黑体" w:hAnsi="黑体" w:eastAsia="黑体"/>
          <w:szCs w:val="32"/>
        </w:rPr>
      </w:pPr>
      <w:r>
        <w:rPr>
          <w:rFonts w:hint="eastAsia" w:ascii="黑体" w:hAnsi="黑体" w:eastAsia="黑体"/>
          <w:szCs w:val="32"/>
        </w:rPr>
        <w:t>六、其他需要报告的事项</w:t>
      </w:r>
    </w:p>
    <w:p w14:paraId="59066717">
      <w:pPr>
        <w:spacing w:line="600" w:lineRule="exact"/>
        <w:jc w:val="left"/>
        <w:rPr>
          <w:rFonts w:hint="eastAsia" w:ascii="楷体_GB2312" w:eastAsia="楷体_GB2312"/>
        </w:rPr>
      </w:pPr>
      <w:r>
        <w:rPr>
          <w:rFonts w:hint="eastAsia" w:ascii="楷体_GB2312" w:eastAsia="楷体_GB2312"/>
        </w:rPr>
        <w:t>（一）政府信息公开信息处理费收取情况</w:t>
      </w:r>
    </w:p>
    <w:p w14:paraId="65ADC97A">
      <w:pPr>
        <w:spacing w:line="560" w:lineRule="exact"/>
        <w:ind w:firstLine="640" w:firstLineChars="200"/>
        <w:rPr>
          <w:rFonts w:ascii="仿宋_GB2312" w:eastAsia="仿宋_GB2312"/>
          <w:szCs w:val="32"/>
        </w:rPr>
      </w:pPr>
      <w:r>
        <w:rPr>
          <w:rFonts w:hint="eastAsia" w:ascii="仿宋_GB2312" w:eastAsia="仿宋_GB231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2025年本机关依申请公开政府信息未收取任何费用。</w:t>
      </w:r>
    </w:p>
    <w:p w14:paraId="57172B48">
      <w:pPr>
        <w:spacing w:line="600" w:lineRule="exact"/>
        <w:jc w:val="left"/>
        <w:rPr>
          <w:rFonts w:hint="eastAsia" w:ascii="楷体_GB2312" w:eastAsia="楷体_GB2312"/>
        </w:rPr>
      </w:pPr>
      <w:r>
        <w:rPr>
          <w:rFonts w:hint="eastAsia" w:ascii="楷体_GB2312" w:eastAsia="楷体_GB2312"/>
        </w:rPr>
        <w:t>（二）落实上级年度政务公开工作要点情况</w:t>
      </w:r>
    </w:p>
    <w:p w14:paraId="492B0B77">
      <w:pPr>
        <w:spacing w:line="560" w:lineRule="atLeast"/>
        <w:ind w:firstLine="640" w:firstLineChars="200"/>
        <w:jc w:val="left"/>
        <w:rPr>
          <w:rFonts w:ascii="仿宋_GB2312" w:eastAsia="仿宋_GB2312"/>
          <w:szCs w:val="32"/>
        </w:rPr>
      </w:pPr>
      <w:r>
        <w:rPr>
          <w:rFonts w:hint="eastAsia" w:ascii="仿宋_GB2312" w:eastAsia="仿宋_GB2312"/>
          <w:szCs w:val="32"/>
        </w:rPr>
        <w:t>严格落实国家和省市县政务公开工作要点，并根据《高青县人民政府办公室关于印发2025年高青县政务公开工作方案的通知》要求，制定了《高青县水利局政务公开工作方案》，明确了重点任务、工作标准和完成时限。一是</w:t>
      </w:r>
      <w:r>
        <w:rPr>
          <w:rFonts w:hint="eastAsia" w:ascii="仿宋_GB2312" w:eastAsia="仿宋_GB2312"/>
          <w:szCs w:val="32"/>
          <w:lang w:eastAsia="zh-CN"/>
        </w:rPr>
        <w:t>加大重点</w:t>
      </w:r>
      <w:r>
        <w:rPr>
          <w:rFonts w:hint="eastAsia" w:ascii="仿宋_GB2312" w:eastAsia="仿宋_GB2312"/>
          <w:szCs w:val="32"/>
        </w:rPr>
        <w:t>领域公开</w:t>
      </w:r>
      <w:r>
        <w:rPr>
          <w:rFonts w:hint="eastAsia" w:ascii="仿宋_GB2312" w:eastAsia="仿宋_GB2312"/>
          <w:szCs w:val="32"/>
          <w:lang w:eastAsia="zh-CN"/>
        </w:rPr>
        <w:t>力度</w:t>
      </w:r>
      <w:r>
        <w:rPr>
          <w:rFonts w:hint="eastAsia" w:ascii="仿宋_GB2312" w:eastAsia="仿宋_GB2312"/>
          <w:szCs w:val="32"/>
        </w:rPr>
        <w:t>，提升项目透明度。</w:t>
      </w:r>
      <w:r>
        <w:rPr>
          <w:rFonts w:hint="eastAsia" w:ascii="仿宋_GB2312" w:eastAsia="仿宋_GB2312"/>
          <w:szCs w:val="32"/>
          <w:lang w:eastAsia="zh-CN"/>
        </w:rPr>
        <w:t>重点公开</w:t>
      </w:r>
      <w:r>
        <w:rPr>
          <w:rFonts w:hint="eastAsia" w:ascii="仿宋_GB2312" w:eastAsia="仿宋_GB2312"/>
          <w:szCs w:val="32"/>
        </w:rPr>
        <w:t>马扎子灌区续建配套、大芦湖水库提升改造等重点工程信息。每月发布出厂水水质检测报告，及时推送计划性停水通知与水费标准调整信息。</w:t>
      </w:r>
      <w:r>
        <w:rPr>
          <w:rFonts w:hint="eastAsia" w:ascii="仿宋_GB2312" w:eastAsia="仿宋_GB2312"/>
          <w:szCs w:val="32"/>
          <w:lang w:eastAsia="zh-CN"/>
        </w:rPr>
        <w:t>二</w:t>
      </w:r>
      <w:r>
        <w:rPr>
          <w:rFonts w:hint="eastAsia" w:ascii="仿宋_GB2312" w:eastAsia="仿宋_GB2312"/>
          <w:szCs w:val="32"/>
        </w:rPr>
        <w:t>是优化政务公开渠道与服务效能，夯实工作基础。整合升级政府网站水利专栏，简化信息检索流程</w:t>
      </w:r>
      <w:r>
        <w:rPr>
          <w:rFonts w:hint="eastAsia" w:ascii="仿宋_GB2312" w:eastAsia="仿宋_GB2312"/>
          <w:szCs w:val="32"/>
          <w:lang w:eastAsia="zh-CN"/>
        </w:rPr>
        <w:t>，</w:t>
      </w:r>
      <w:r>
        <w:rPr>
          <w:rFonts w:hint="eastAsia" w:ascii="仿宋_GB2312" w:eastAsia="仿宋_GB2312"/>
          <w:szCs w:val="32"/>
        </w:rPr>
        <w:t>发布通俗易懂的水利政策图解、科普短视频，提升信息传播力。</w:t>
      </w:r>
      <w:r>
        <w:rPr>
          <w:rFonts w:hint="eastAsia" w:ascii="仿宋_GB2312" w:eastAsia="仿宋_GB2312"/>
          <w:szCs w:val="32"/>
          <w:lang w:eastAsia="zh-CN"/>
        </w:rPr>
        <w:t>三是</w:t>
      </w:r>
      <w:r>
        <w:rPr>
          <w:rFonts w:hint="eastAsia" w:ascii="仿宋_GB2312" w:eastAsia="仿宋_GB2312"/>
          <w:szCs w:val="32"/>
        </w:rPr>
        <w:t>健全依申请公开办理机制，规范“受理—审查—答复”全流程，开展2次业务培训，覆盖各科室经办人员，重点强化保密审查等实操能力，推动政务公开工作规范化。</w:t>
      </w:r>
    </w:p>
    <w:p w14:paraId="1363B1D2">
      <w:pPr>
        <w:spacing w:line="600" w:lineRule="exact"/>
        <w:jc w:val="left"/>
        <w:rPr>
          <w:rFonts w:hint="eastAsia" w:ascii="楷体_GB2312" w:eastAsia="楷体_GB2312"/>
        </w:rPr>
      </w:pPr>
      <w:r>
        <w:rPr>
          <w:rFonts w:hint="eastAsia" w:ascii="楷体_GB2312" w:eastAsia="楷体_GB2312"/>
        </w:rPr>
        <w:t>（三）人大代表建议和政协委员提案办理结果公开情况</w:t>
      </w:r>
    </w:p>
    <w:p w14:paraId="72A973BE">
      <w:pPr>
        <w:spacing w:line="560" w:lineRule="exact"/>
        <w:ind w:firstLine="640" w:firstLineChars="200"/>
        <w:rPr>
          <w:rFonts w:eastAsia="仿宋_GB2312" w:cs="仿宋_GB2312"/>
          <w:szCs w:val="32"/>
        </w:rPr>
      </w:pPr>
      <w:r>
        <w:rPr>
          <w:rFonts w:hint="eastAsia" w:ascii="仿宋_GB2312" w:eastAsia="仿宋_GB2312"/>
          <w:szCs w:val="32"/>
        </w:rPr>
        <w:t>2025年共承办县十八届人大</w:t>
      </w:r>
      <w:r>
        <w:rPr>
          <w:rFonts w:hint="eastAsia" w:ascii="仿宋_GB2312" w:eastAsia="仿宋_GB2312"/>
          <w:szCs w:val="32"/>
          <w:lang w:eastAsia="zh-CN"/>
        </w:rPr>
        <w:t>四</w:t>
      </w:r>
      <w:r>
        <w:rPr>
          <w:rFonts w:hint="eastAsia" w:ascii="仿宋_GB2312" w:eastAsia="仿宋_GB2312"/>
          <w:szCs w:val="32"/>
        </w:rPr>
        <w:t>次会议建议4件，承办县政协十五届</w:t>
      </w:r>
      <w:r>
        <w:rPr>
          <w:rFonts w:hint="eastAsia" w:ascii="仿宋_GB2312" w:eastAsia="仿宋_GB2312"/>
          <w:szCs w:val="32"/>
          <w:lang w:eastAsia="zh-CN"/>
        </w:rPr>
        <w:t>四</w:t>
      </w:r>
      <w:bookmarkStart w:id="0" w:name="_GoBack"/>
      <w:bookmarkEnd w:id="0"/>
      <w:r>
        <w:rPr>
          <w:rFonts w:hint="eastAsia" w:ascii="仿宋_GB2312" w:eastAsia="仿宋_GB2312"/>
          <w:szCs w:val="32"/>
        </w:rPr>
        <w:t>次会议提案11件，办复率均为100%。</w:t>
      </w:r>
      <w:r>
        <w:rPr>
          <w:rFonts w:hint="eastAsia" w:eastAsia="仿宋_GB2312" w:cs="仿宋_GB2312"/>
          <w:szCs w:val="32"/>
        </w:rPr>
        <w:t>除涉及国家秘密、工作秘密的，所有建议提案办理复文或摘要以及办理总体情况均在县政府门户网站</w:t>
      </w:r>
      <w:r>
        <w:rPr>
          <w:rFonts w:hint="eastAsia" w:ascii="仿宋_GB2312" w:eastAsia="仿宋_GB2312"/>
          <w:szCs w:val="32"/>
        </w:rPr>
        <w:t>建议提案办理专题</w:t>
      </w:r>
      <w:r>
        <w:rPr>
          <w:rFonts w:hint="eastAsia" w:eastAsia="仿宋_GB2312" w:cs="仿宋_GB2312"/>
          <w:szCs w:val="32"/>
        </w:rPr>
        <w:t>中予以公开。</w:t>
      </w:r>
    </w:p>
    <w:p w14:paraId="69CA318A">
      <w:pPr>
        <w:spacing w:line="600" w:lineRule="exact"/>
        <w:jc w:val="left"/>
        <w:rPr>
          <w:rFonts w:hint="eastAsia" w:ascii="楷体_GB2312" w:eastAsia="楷体_GB2312"/>
        </w:rPr>
      </w:pPr>
      <w:r>
        <w:rPr>
          <w:rFonts w:hint="eastAsia" w:ascii="楷体_GB2312" w:eastAsia="楷体_GB2312"/>
        </w:rPr>
        <w:t>（四）政务公开工作创新情况</w:t>
      </w:r>
    </w:p>
    <w:p w14:paraId="0CDB5C2B">
      <w:pPr>
        <w:spacing w:line="560" w:lineRule="exact"/>
        <w:ind w:firstLine="640" w:firstLineChars="200"/>
        <w:rPr>
          <w:rFonts w:hint="eastAsia" w:eastAsia="仿宋_GB2312" w:cs="仿宋_GB2312"/>
          <w:szCs w:val="32"/>
        </w:rPr>
      </w:pPr>
      <w:r>
        <w:rPr>
          <w:rFonts w:hint="eastAsia" w:eastAsia="仿宋_GB2312" w:cs="仿宋_GB2312"/>
          <w:szCs w:val="32"/>
        </w:rPr>
        <w:t>深化基层政务公开标准化规范化建设，细化水利领域公开清单，推动水利工程、水资源调度等重点领域信息精准直达群众，并建立健全动态更新与公众参与反馈机制，全面提升水利政务服务透明度和公众满意度</w:t>
      </w:r>
    </w:p>
    <w:p w14:paraId="566B99B6">
      <w:pPr>
        <w:spacing w:line="600" w:lineRule="exact"/>
        <w:jc w:val="left"/>
        <w:rPr>
          <w:rFonts w:hint="eastAsia" w:ascii="楷体_GB2312" w:eastAsia="楷体_GB2312"/>
        </w:rPr>
      </w:pPr>
      <w:r>
        <w:rPr>
          <w:rFonts w:hint="eastAsia" w:ascii="楷体_GB2312" w:eastAsia="楷体_GB2312"/>
        </w:rPr>
        <w:t>（五）有关数据统计说明</w:t>
      </w:r>
    </w:p>
    <w:p w14:paraId="78F4CEE1">
      <w:pPr>
        <w:spacing w:line="560" w:lineRule="exact"/>
        <w:ind w:firstLine="640" w:firstLineChars="200"/>
        <w:rPr>
          <w:rFonts w:ascii="仿宋_GB2312" w:eastAsia="仿宋_GB2312"/>
          <w:szCs w:val="32"/>
        </w:rPr>
      </w:pPr>
      <w:r>
        <w:rPr>
          <w:rFonts w:hint="eastAsia" w:ascii="仿宋_GB2312" w:eastAsia="仿宋_GB2312"/>
          <w:szCs w:val="32"/>
        </w:rPr>
        <w:t>1.报告中所列数据可能因四舍五入原因与数据直接相加之和存在尾数差异。</w:t>
      </w:r>
    </w:p>
    <w:p w14:paraId="62B17FED">
      <w:pPr>
        <w:spacing w:line="560" w:lineRule="exact"/>
        <w:ind w:firstLine="640" w:firstLineChars="200"/>
        <w:rPr>
          <w:rFonts w:ascii="仿宋_GB2312" w:eastAsia="仿宋_GB2312"/>
          <w:szCs w:val="32"/>
        </w:rPr>
      </w:pPr>
      <w:r>
        <w:rPr>
          <w:rFonts w:hint="eastAsia" w:ascii="仿宋_GB2312" w:eastAsia="仿宋_GB2312"/>
          <w:szCs w:val="32"/>
        </w:rPr>
        <w:t>2.行政许可数量、行政处罚和行政强制数量，包括已公开和依法未公开的全部处理决定。</w:t>
      </w:r>
    </w:p>
    <w:p w14:paraId="4E85A068">
      <w:pPr>
        <w:spacing w:line="560" w:lineRule="exact"/>
        <w:ind w:firstLine="640" w:firstLineChars="200"/>
        <w:rPr>
          <w:rFonts w:hint="eastAsia" w:ascii="黑体" w:hAnsi="黑体" w:eastAsia="黑体"/>
          <w:sz w:val="30"/>
          <w:szCs w:val="30"/>
        </w:rPr>
      </w:pPr>
      <w:r>
        <w:rPr>
          <w:rFonts w:hint="eastAsia" w:ascii="仿宋_GB2312" w:eastAsia="仿宋_GB2312"/>
          <w:szCs w:val="32"/>
        </w:rPr>
        <w:t>3.行政复议机关作为共同被告的行政诉讼案件，只计算原行为主体的案件数量，不计算行政复议机关的案件数量。</w:t>
      </w:r>
    </w:p>
    <w:p w14:paraId="1A87D587">
      <w:pPr>
        <w:ind w:firstLine="640" w:firstLineChars="200"/>
        <w:jc w:val="left"/>
        <w:rPr>
          <w:rFonts w:ascii="仿宋_GB2312" w:eastAsia="仿宋_GB2312"/>
        </w:rPr>
      </w:pPr>
    </w:p>
    <w:p w14:paraId="6817597B">
      <w:pPr>
        <w:ind w:firstLine="600" w:firstLineChars="200"/>
        <w:jc w:val="left"/>
        <w:rPr>
          <w:rFonts w:hint="eastAsia" w:ascii="楷体_GB2312" w:hAnsi="黑体" w:eastAsia="楷体_GB2312"/>
          <w:sz w:val="30"/>
          <w:szCs w:val="30"/>
        </w:rPr>
      </w:pPr>
    </w:p>
    <w:p w14:paraId="62D0C1C9">
      <w:pPr>
        <w:spacing w:line="560" w:lineRule="exact"/>
        <w:ind w:firstLine="600" w:firstLineChars="200"/>
        <w:rPr>
          <w:rFonts w:hint="eastAsia" w:ascii="楷体_GB2312" w:hAnsi="黑体" w:eastAsia="楷体_GB2312"/>
          <w:sz w:val="30"/>
          <w:szCs w:val="30"/>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1947BF"/>
    <w:rsid w:val="002027FF"/>
    <w:rsid w:val="00210F4D"/>
    <w:rsid w:val="00211942"/>
    <w:rsid w:val="002133C7"/>
    <w:rsid w:val="00243F5A"/>
    <w:rsid w:val="002961F2"/>
    <w:rsid w:val="002E3543"/>
    <w:rsid w:val="003B5255"/>
    <w:rsid w:val="003D6FCB"/>
    <w:rsid w:val="003E75A6"/>
    <w:rsid w:val="00415AB1"/>
    <w:rsid w:val="00422E20"/>
    <w:rsid w:val="004622F8"/>
    <w:rsid w:val="0046794E"/>
    <w:rsid w:val="004C1750"/>
    <w:rsid w:val="004D241E"/>
    <w:rsid w:val="00515DB1"/>
    <w:rsid w:val="00523855"/>
    <w:rsid w:val="005422B3"/>
    <w:rsid w:val="005626E3"/>
    <w:rsid w:val="00591E5D"/>
    <w:rsid w:val="005C0F41"/>
    <w:rsid w:val="0065765D"/>
    <w:rsid w:val="00673AC7"/>
    <w:rsid w:val="006947A5"/>
    <w:rsid w:val="00704FCD"/>
    <w:rsid w:val="008C4ED2"/>
    <w:rsid w:val="00915D0B"/>
    <w:rsid w:val="009B028C"/>
    <w:rsid w:val="00C542CC"/>
    <w:rsid w:val="00C67940"/>
    <w:rsid w:val="00C73BD0"/>
    <w:rsid w:val="00CC2BE7"/>
    <w:rsid w:val="00CC521B"/>
    <w:rsid w:val="00CD1D00"/>
    <w:rsid w:val="00E60B5D"/>
    <w:rsid w:val="00EA0721"/>
    <w:rsid w:val="00EF5607"/>
    <w:rsid w:val="00FA216A"/>
    <w:rsid w:val="00FD5381"/>
    <w:rsid w:val="00FE3055"/>
    <w:rsid w:val="2F386B53"/>
    <w:rsid w:val="5BECB02C"/>
    <w:rsid w:val="5DFB3359"/>
    <w:rsid w:val="5FFBE144"/>
    <w:rsid w:val="6BFD559A"/>
    <w:rsid w:val="77BD5FF9"/>
    <w:rsid w:val="7EE79D63"/>
    <w:rsid w:val="7F9F16A3"/>
    <w:rsid w:val="9BEF6D95"/>
    <w:rsid w:val="B3EFA1DF"/>
    <w:rsid w:val="D797FB82"/>
    <w:rsid w:val="DEEEF9AA"/>
    <w:rsid w:val="DFFF5FA7"/>
    <w:rsid w:val="E3EFC8F8"/>
    <w:rsid w:val="EBFF68E4"/>
    <w:rsid w:val="EFFDB1AA"/>
    <w:rsid w:val="EFFF5C48"/>
    <w:rsid w:val="F1F587C2"/>
    <w:rsid w:val="F7B7FEB5"/>
    <w:rsid w:val="FCB4BF77"/>
    <w:rsid w:val="FD7EF212"/>
    <w:rsid w:val="FF3780F4"/>
    <w:rsid w:val="FFF7C46B"/>
    <w:rsid w:val="FFFE5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pacing w:line="240" w:lineRule="atLeast"/>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rFonts w:ascii="Times New Roman" w:hAnsi="Times New Roman" w:eastAsia="方正仿宋_GBK" w:cs="Times New Roman"/>
      <w:snapToGrid w:val="0"/>
      <w:kern w:val="0"/>
      <w:sz w:val="18"/>
      <w:szCs w:val="18"/>
    </w:rPr>
  </w:style>
  <w:style w:type="character" w:customStyle="1" w:styleId="8">
    <w:name w:val="页脚 字符"/>
    <w:basedOn w:val="6"/>
    <w:link w:val="2"/>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2025</a:t>
            </a:r>
            <a:r>
              <a:rPr lang="zh-CN" altLang="en-US"/>
              <a:t>年度政府信息公开数量</a:t>
            </a:r>
            <a:endParaRPr lang="zh-CN" altLang="en-US"/>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销售额</c:v>
                </c:pt>
              </c:strCache>
            </c:strRef>
          </c:tx>
          <c:spPr>
            <a:scene3d>
              <a:camera prst="orthographicFront"/>
              <a:lightRig rig="threePt" dir="t"/>
            </a:scene3d>
            <a:sp3d contourW="9525"/>
          </c:spPr>
          <c:explosion val="0"/>
          <c:dPt>
            <c:idx val="0"/>
            <c:bubble3D val="0"/>
            <c:spPr>
              <a:solidFill>
                <a:schemeClr val="accent2"/>
              </a:solidFill>
              <a:ln>
                <a:solidFill>
                  <a:schemeClr val="bg1"/>
                </a:solidFill>
              </a:ln>
              <a:effectLst/>
              <a:scene3d>
                <a:camera prst="orthographicFront"/>
                <a:lightRig rig="threePt" dir="t"/>
              </a:scene3d>
              <a:sp3d contourW="9525"/>
            </c:spPr>
          </c:dPt>
          <c:dPt>
            <c:idx val="1"/>
            <c:bubble3D val="0"/>
            <c:spPr>
              <a:solidFill>
                <a:schemeClr val="accent4"/>
              </a:solidFill>
              <a:ln>
                <a:solidFill>
                  <a:schemeClr val="bg1"/>
                </a:solidFill>
              </a:ln>
              <a:effectLst/>
              <a:scene3d>
                <a:camera prst="orthographicFront"/>
                <a:lightRig rig="threePt" dir="t"/>
              </a:scene3d>
              <a:sp3d contourW="9525"/>
            </c:spPr>
          </c:dPt>
          <c:dPt>
            <c:idx val="2"/>
            <c:bubble3D val="0"/>
            <c:spPr>
              <a:solidFill>
                <a:schemeClr val="accent6"/>
              </a:solidFill>
              <a:ln>
                <a:solidFill>
                  <a:schemeClr val="bg1"/>
                </a:solidFill>
              </a:ln>
              <a:effectLst/>
              <a:scene3d>
                <a:camera prst="orthographicFront"/>
                <a:lightRig rig="threePt" dir="t"/>
              </a:scene3d>
              <a:sp3d contourW="9525"/>
            </c:spPr>
          </c:dPt>
          <c:dPt>
            <c:idx val="3"/>
            <c:bubble3D val="0"/>
            <c:spPr>
              <a:solidFill>
                <a:schemeClr val="accent2">
                  <a:lumMod val="60000"/>
                </a:schemeClr>
              </a:solidFill>
              <a:ln>
                <a:solidFill>
                  <a:schemeClr val="bg1"/>
                </a:solidFill>
              </a:ln>
              <a:effectLst/>
              <a:scene3d>
                <a:camera prst="orthographicFront"/>
                <a:lightRig rig="threePt" dir="t"/>
              </a:scene3d>
              <a:sp3d contourW="9525"/>
            </c:spPr>
          </c:dPt>
          <c:dPt>
            <c:idx val="4"/>
            <c:bubble3D val="0"/>
            <c:spPr>
              <a:solidFill>
                <a:schemeClr val="accent4">
                  <a:lumMod val="60000"/>
                </a:schemeClr>
              </a:solidFill>
              <a:ln>
                <a:solidFill>
                  <a:schemeClr val="bg1"/>
                </a:solidFill>
              </a:ln>
              <a:effectLst/>
              <a:scene3d>
                <a:camera prst="orthographicFront"/>
                <a:lightRig rig="threePt" dir="t"/>
              </a:scene3d>
              <a:sp3d contourW="9525"/>
            </c:spPr>
          </c:dPt>
          <c:dPt>
            <c:idx val="5"/>
            <c:bubble3D val="0"/>
            <c:spPr>
              <a:solidFill>
                <a:schemeClr val="accent6">
                  <a:lumMod val="60000"/>
                </a:schemeClr>
              </a:solidFill>
              <a:ln>
                <a:solidFill>
                  <a:schemeClr val="bg1"/>
                </a:solidFill>
              </a:ln>
              <a:effectLst/>
              <a:scene3d>
                <a:camera prst="orthographicFront"/>
                <a:lightRig rig="threePt" dir="t"/>
              </a:scene3d>
              <a:sp3d contourW="9525"/>
            </c:spPr>
          </c:dPt>
          <c:dPt>
            <c:idx val="6"/>
            <c:bubble3D val="0"/>
            <c:spPr>
              <a:solidFill>
                <a:schemeClr val="accent2">
                  <a:lumMod val="80000"/>
                  <a:lumOff val="20000"/>
                </a:schemeClr>
              </a:solidFill>
              <a:ln>
                <a:solidFill>
                  <a:schemeClr val="bg1"/>
                </a:solidFill>
              </a:ln>
              <a:effectLst/>
              <a:scene3d>
                <a:camera prst="orthographicFront"/>
                <a:lightRig rig="threePt" dir="t"/>
              </a:scene3d>
              <a:sp3d contourW="9525"/>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Sheet1!$A$2:$A$8</c:f>
              <c:strCache>
                <c:ptCount val="7"/>
                <c:pt idx="0">
                  <c:v>公共企事业单位信息公开</c:v>
                </c:pt>
                <c:pt idx="1">
                  <c:v>建议提案办理</c:v>
                </c:pt>
                <c:pt idx="2">
                  <c:v>便民公告</c:v>
                </c:pt>
                <c:pt idx="3">
                  <c:v>行政执法信息</c:v>
                </c:pt>
                <c:pt idx="4">
                  <c:v>重要部署执行</c:v>
                </c:pt>
                <c:pt idx="5">
                  <c:v>机构职能</c:v>
                </c:pt>
                <c:pt idx="6">
                  <c:v>河长制工作</c:v>
                </c:pt>
              </c:strCache>
            </c:strRef>
          </c:cat>
          <c:val>
            <c:numRef>
              <c:f>Sheet1!$B$2:$B$8</c:f>
              <c:numCache>
                <c:formatCode>General</c:formatCode>
                <c:ptCount val="7"/>
                <c:pt idx="0">
                  <c:v>8.2</c:v>
                </c:pt>
                <c:pt idx="1">
                  <c:v>3.2</c:v>
                </c:pt>
                <c:pt idx="2">
                  <c:v>1.4</c:v>
                </c:pt>
                <c:pt idx="3">
                  <c:v>1.2</c:v>
                </c:pt>
                <c:pt idx="4">
                  <c:v>1.6</c:v>
                </c:pt>
                <c:pt idx="5">
                  <c:v>1.5</c:v>
                </c:pt>
                <c:pt idx="6">
                  <c:v>1.3</c:v>
                </c:pt>
              </c:numCache>
            </c:numRef>
          </c:val>
        </c:ser>
        <c:dLbls>
          <c:showLegendKey val="0"/>
          <c:showVal val="1"/>
          <c:showCatName val="0"/>
          <c:showSerName val="0"/>
          <c:showPercent val="0"/>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acd1c4a-7e48-49e0-b69a-85dfcc2b4f66}"/>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671</Words>
  <Characters>3827</Characters>
  <Lines>31</Lines>
  <Paragraphs>8</Paragraphs>
  <TotalTime>7</TotalTime>
  <ScaleCrop>false</ScaleCrop>
  <LinksUpToDate>false</LinksUpToDate>
  <CharactersWithSpaces>4490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2022-01-03T17:04:00Z</dcterms:created>
  <dc:creator>lb</dc:creator>
  <cp:lastModifiedBy>user</cp:lastModifiedBy>
  <dcterms:modified xsi:type="dcterms:W3CDTF">2026-01-28T16:15:27Z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eyJoZGlkIjoiNDA0NDljNmFiMzFkY2ZjZmQ4N2MzMDQyM2Q3NzlkMzMiLCJ1c2VySWQiOiI1MjQ4Mzc4MjkifQ==</vt:lpwstr>
  </property>
  <property fmtid="{D5CDD505-2E9C-101B-9397-08002B2CF9AE}" pid="3" name="KSOProductBuildVer">
    <vt:lpwstr>2052-12.1.2.23578</vt:lpwstr>
  </property>
  <property fmtid="{D5CDD505-2E9C-101B-9397-08002B2CF9AE}" pid="4" name="ICV">
    <vt:lpwstr>22DA57115B9D468019B35969C197F5BE_43</vt:lpwstr>
  </property>
</Properties>
</file>