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高青县水利局</w:t>
      </w:r>
    </w:p>
    <w:p>
      <w:pPr>
        <w:spacing w:line="60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600" w:lineRule="exact"/>
        <w:ind w:firstLine="640" w:firstLineChars="200"/>
        <w:rPr>
          <w:rFonts w:ascii="仿宋_GB2312" w:eastAsia="仿宋_GB2312"/>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60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水利局办公室联系（地址：山东省淄博市高青县中心路37号；邮编：256300；电话：0533-6962141；传真：0533-6775558）。</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jc w:val="left"/>
        <w:rPr>
          <w:rFonts w:ascii="楷体_GB2312" w:eastAsia="楷体_GB2312"/>
        </w:rPr>
      </w:pPr>
      <w:r>
        <w:rPr>
          <w:rFonts w:hint="eastAsia" w:ascii="楷体_GB2312" w:eastAsia="楷体_GB2312"/>
        </w:rPr>
        <w:t>（一）主动公开</w:t>
      </w:r>
    </w:p>
    <w:p>
      <w:pPr>
        <w:pStyle w:val="6"/>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国家和省市县政府信息公开工作的有关要求，健全完善政府信息公开制度，出台《高青县水利局2021年政务公开工作实施方案》，积极推进政府信息公开工作。根据《条例》第二十条、二十一条规定，加大主动公开力度，2021年在县政府网站公开行政执法、财政预决算、机构职能、重要部署执行等信息90余条。开展政策解读，涉及群众切身利益、需要社会广泛知晓的文件均配发解读材料，2021年共发布解读材料3篇。及时回应群众诉求，</w:t>
      </w:r>
      <w:r>
        <w:rPr>
          <w:rFonts w:hint="eastAsia" w:ascii="仿宋_GB2312" w:eastAsia="仿宋_GB2312"/>
          <w:sz w:val="32"/>
          <w:szCs w:val="32"/>
        </w:rPr>
        <w:t>2021年通过政府信箱收到3件群众留言均在5个工作日答复完毕，处理12345群众投诉1730件，群众对办理结果表示满意。</w:t>
      </w:r>
    </w:p>
    <w:p>
      <w:pPr>
        <w:pStyle w:val="6"/>
        <w:widowControl/>
        <w:spacing w:beforeAutospacing="0" w:afterAutospacing="0" w:line="24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2021年未收到政府信息公开申请，上年度未结转政府信息公开申请，未因政府信息公开被申请行政复议、提起行政诉讼。</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（三）政府信息管理</w:t>
      </w:r>
    </w:p>
    <w:p>
      <w:pPr>
        <w:spacing w:line="560" w:lineRule="exact"/>
        <w:jc w:val="left"/>
        <w:rPr>
          <w:rFonts w:ascii="仿宋_GB2312" w:hAnsi="仿宋_GB2312" w:eastAsia="仿宋_GB2312" w:cs="仿宋_GB2312"/>
          <w:szCs w:val="32"/>
          <w:lang w:bidi="ar"/>
        </w:rPr>
      </w:pPr>
      <w:r>
        <w:rPr>
          <w:rFonts w:hint="eastAsia" w:ascii="仿宋_GB2312" w:hAnsi="仿宋_GB2312" w:eastAsia="仿宋_GB2312" w:cs="仿宋_GB2312"/>
          <w:szCs w:val="32"/>
          <w:lang w:bidi="ar"/>
        </w:rPr>
        <w:t>根据水利工作实际，对政府信息主动公开基本目录进行完善。建立文件公开属性源头认定机制，对公文拟定公开属性，标注“主动公开”、“依申请公开”或“不予公开”，对于主动公开的公文通过县政府网站“部门文件”栏目进行公开，同时对出台的文件进行梳理，及时清理已失效的文件。</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（四）政府信息公开平台建设</w:t>
      </w:r>
    </w:p>
    <w:p>
      <w:pPr>
        <w:pStyle w:val="6"/>
        <w:widowControl/>
        <w:spacing w:beforeAutospacing="0" w:afterAutospacing="0" w:line="560" w:lineRule="exact"/>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利用县政府门户网站、微信公众号、信息公开栏、电子屏等方式和途径，开展政府信息公开工作。加大“两微一端”政务新媒体宣传力度。微信公众号“高青县水利局”以“公开政务、服务民生、沟通交流、凝聚民生”为宗旨，及时发布部门动态、民生信息等信息。</w:t>
      </w:r>
    </w:p>
    <w:p>
      <w:pPr>
        <w:spacing w:line="560" w:lineRule="exact"/>
        <w:jc w:val="left"/>
        <w:rPr>
          <w:rFonts w:ascii="仿宋_GB2312" w:hAnsi="仿宋_GB2312" w:eastAsia="仿宋_GB2312" w:cs="仿宋_GB2312"/>
          <w:szCs w:val="32"/>
          <w:lang w:bidi="ar"/>
        </w:rPr>
      </w:pPr>
      <w:r>
        <w:rPr>
          <w:rFonts w:hint="eastAsia" w:ascii="楷体_GB2312" w:hAnsi="楷体_GB2312" w:eastAsia="楷体_GB2312" w:cs="楷体_GB2312"/>
          <w:szCs w:val="32"/>
        </w:rPr>
        <w:t>（五）监督保障</w:t>
      </w:r>
    </w:p>
    <w:p>
      <w:pPr>
        <w:pStyle w:val="6"/>
        <w:widowControl/>
        <w:spacing w:beforeAutospacing="0" w:afterAutospacing="0" w:line="560" w:lineRule="exact"/>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加大政务公开工作监督保障力度，调整了政务公开领导小组，由局主要负责人任组长，健全完善领导体制和工作机制。强化政务公开工作组织保障，明确由办公室负责政府信息公开工作，配备1名专职工作人员、6名兼职人员进行政府信息公开工作。2021年开展政务公开工作培训1次，不断强化工作人员依法公开意识，提升政务公开业务水平，做好信息公开工作。</w:t>
      </w: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hint="eastAsia" w:ascii="仿宋_GB2312" w:hAnsi="仿宋_GB2312" w:eastAsia="仿宋_GB2312" w:cs="仿宋_GB2312"/>
          <w:sz w:val="32"/>
          <w:szCs w:val="32"/>
          <w:lang w:bidi="ar"/>
        </w:rPr>
      </w:pPr>
    </w:p>
    <w:p>
      <w:pPr>
        <w:pStyle w:val="6"/>
        <w:widowControl/>
        <w:spacing w:beforeAutospacing="0" w:afterAutospacing="0" w:line="560" w:lineRule="exact"/>
        <w:jc w:val="both"/>
        <w:rPr>
          <w:rFonts w:ascii="仿宋_GB2312" w:hAnsi="仿宋_GB2312" w:eastAsia="仿宋_GB2312" w:cs="仿宋_GB2312"/>
          <w:sz w:val="32"/>
          <w:szCs w:val="32"/>
          <w:lang w:bidi="ar"/>
        </w:rPr>
      </w:pPr>
    </w:p>
    <w:p>
      <w:pPr>
        <w:pStyle w:val="6"/>
        <w:widowControl/>
        <w:spacing w:beforeAutospacing="0" w:afterAutospacing="0" w:line="560" w:lineRule="exact"/>
        <w:jc w:val="both"/>
        <w:rPr>
          <w:rFonts w:ascii="仿宋_GB2312" w:hAnsi="仿宋_GB2312" w:eastAsia="仿宋_GB2312" w:cs="仿宋_GB2312"/>
          <w:sz w:val="32"/>
          <w:szCs w:val="32"/>
          <w:lang w:bidi="ar"/>
        </w:rPr>
      </w:pPr>
    </w:p>
    <w:p>
      <w:pPr>
        <w:pStyle w:val="6"/>
        <w:widowControl/>
        <w:spacing w:beforeAutospacing="0" w:afterAutospacing="0" w:line="560" w:lineRule="exact"/>
        <w:jc w:val="both"/>
        <w:rPr>
          <w:rFonts w:ascii="仿宋_GB2312" w:hAnsi="仿宋_GB2312" w:eastAsia="仿宋_GB2312" w:cs="仿宋_GB2312"/>
          <w:sz w:val="32"/>
          <w:szCs w:val="32"/>
          <w:lang w:bidi="ar"/>
        </w:rPr>
      </w:pPr>
    </w:p>
    <w:p>
      <w:pPr>
        <w:pStyle w:val="6"/>
        <w:widowControl/>
        <w:spacing w:beforeAutospacing="0" w:afterAutospacing="0" w:line="560" w:lineRule="exact"/>
        <w:jc w:val="both"/>
        <w:rPr>
          <w:rFonts w:ascii="仿宋_GB2312" w:hAnsi="仿宋_GB2312" w:eastAsia="仿宋_GB2312" w:cs="仿宋_GB2312"/>
          <w:sz w:val="32"/>
          <w:szCs w:val="32"/>
          <w:lang w:bidi="ar"/>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规章</w:t>
            </w:r>
          </w:p>
        </w:tc>
        <w:tc>
          <w:tcPr>
            <w:tcW w:w="2130"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行政规范性文件</w:t>
            </w:r>
          </w:p>
        </w:tc>
        <w:tc>
          <w:tcPr>
            <w:tcW w:w="2130"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c>
          <w:tcPr>
            <w:tcW w:w="2131" w:type="dxa"/>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行政许可</w:t>
            </w:r>
          </w:p>
        </w:tc>
        <w:tc>
          <w:tcPr>
            <w:tcW w:w="6392" w:type="dxa"/>
            <w:gridSpan w:val="3"/>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行政处罚</w:t>
            </w:r>
          </w:p>
        </w:tc>
        <w:tc>
          <w:tcPr>
            <w:tcW w:w="6392" w:type="dxa"/>
            <w:gridSpan w:val="3"/>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行政强制</w:t>
            </w:r>
          </w:p>
        </w:tc>
        <w:tc>
          <w:tcPr>
            <w:tcW w:w="6392" w:type="dxa"/>
            <w:gridSpan w:val="3"/>
            <w:vAlign w:val="center"/>
          </w:tcPr>
          <w:p>
            <w:pPr>
              <w:spacing w:line="240" w:lineRule="auto"/>
              <w:ind w:firstLine="0"/>
              <w:jc w:val="center"/>
              <w:rPr>
                <w:rFonts w:hint="eastAsia" w:ascii="黑体" w:hAnsi="黑体" w:eastAsia="黑体"/>
                <w:sz w:val="24"/>
                <w:szCs w:val="24"/>
                <w:lang w:eastAsia="zh-CN"/>
              </w:rPr>
            </w:pPr>
            <w:r>
              <w:rPr>
                <w:rFonts w:hint="eastAsia" w:ascii="黑体" w:hAnsi="黑体" w:eastAsia="黑体"/>
                <w:sz w:val="24"/>
                <w:szCs w:val="24"/>
                <w:lang w:val="en-US" w:eastAsia="zh-CN"/>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行政事业性收费</w:t>
            </w:r>
          </w:p>
        </w:tc>
        <w:tc>
          <w:tcPr>
            <w:tcW w:w="6392" w:type="dxa"/>
            <w:gridSpan w:val="3"/>
            <w:vAlign w:val="center"/>
          </w:tcPr>
          <w:p>
            <w:pPr>
              <w:spacing w:line="240" w:lineRule="auto"/>
              <w:ind w:firstLine="0"/>
              <w:jc w:val="center"/>
              <w:rPr>
                <w:rFonts w:ascii="黑体" w:hAnsi="黑体" w:eastAsia="黑体"/>
                <w:sz w:val="24"/>
                <w:szCs w:val="24"/>
              </w:rPr>
            </w:pPr>
            <w:r>
              <w:rPr>
                <w:rFonts w:hint="eastAsia" w:ascii="黑体" w:hAnsi="黑体" w:eastAsia="黑体"/>
                <w:sz w:val="24"/>
                <w:szCs w:val="24"/>
              </w:rPr>
              <w:t>0</w:t>
            </w:r>
          </w:p>
        </w:tc>
      </w:tr>
    </w:tbl>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（一）存在问题</w:t>
      </w:r>
    </w:p>
    <w:p>
      <w:pPr>
        <w:ind w:firstLine="640" w:firstLineChars="200"/>
        <w:jc w:val="left"/>
        <w:rPr>
          <w:rFonts w:ascii="仿宋_GB2312" w:eastAsia="仿宋_GB2312"/>
          <w:szCs w:val="32"/>
        </w:rPr>
      </w:pPr>
      <w:r>
        <w:rPr>
          <w:rFonts w:hint="eastAsia" w:ascii="仿宋_GB2312" w:eastAsia="仿宋_GB2312"/>
          <w:szCs w:val="32"/>
        </w:rPr>
        <w:t>2021年，政府信息公开的范围不断扩大、力度不断增强，得到了公众的认可，但仍存在一些问题，一是缺乏具有操作性的细化规定，影响了政府信息公开工作的开展。二是部分领域还存在着公开不及时、形式不规范、内容不具体等问题。</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（二）改进措施</w:t>
      </w:r>
    </w:p>
    <w:p>
      <w:pPr>
        <w:ind w:firstLine="640" w:firstLineChars="200"/>
        <w:jc w:val="left"/>
        <w:rPr>
          <w:rFonts w:ascii="黑体" w:hAnsi="黑体" w:eastAsia="黑体"/>
          <w:sz w:val="30"/>
          <w:szCs w:val="30"/>
        </w:rPr>
      </w:pPr>
      <w:r>
        <w:rPr>
          <w:rFonts w:hint="eastAsia" w:ascii="仿宋_GB2312" w:eastAsia="仿宋_GB2312"/>
          <w:szCs w:val="32"/>
        </w:rPr>
        <w:t>针对以上问题，2022年将进一步加强信息主动公开工作，并做好以下几点。一是逐步扩大信息主动公开范围，并对公众关心的热点领域的情况予以全面及时的回应。二是进一步提高信息主动公开的质量。建立健全政府信息发布协调机制，确保信息公开的准确性和一致性。</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（一）收取信息处理费情况</w:t>
      </w:r>
    </w:p>
    <w:p>
      <w:pPr>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ind w:firstLine="640" w:firstLineChars="200"/>
        <w:jc w:val="left"/>
        <w:rPr>
          <w:rFonts w:ascii="仿宋_GB2312" w:eastAsia="仿宋_GB2312"/>
          <w:szCs w:val="32"/>
        </w:rPr>
      </w:pPr>
      <w:r>
        <w:rPr>
          <w:rFonts w:hint="eastAsia" w:ascii="楷体_GB2312" w:hAnsi="楷体_GB2312" w:eastAsia="楷体_GB2312" w:cs="楷体_GB2312"/>
          <w:szCs w:val="32"/>
        </w:rPr>
        <w:t>（二）落实上级年度政务公开工作要点情况</w:t>
      </w:r>
    </w:p>
    <w:p>
      <w:pPr>
        <w:ind w:firstLine="640" w:firstLineChars="200"/>
        <w:jc w:val="left"/>
        <w:rPr>
          <w:rFonts w:ascii="仿宋_GB2312" w:eastAsia="仿宋_GB2312"/>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规定，制定了《高青县水利局2021年政务公开工作实施方案》，并根据要点</w:t>
      </w:r>
      <w:r>
        <w:rPr>
          <w:rFonts w:hint="eastAsia" w:ascii="仿宋_GB2312" w:hAnsi="黑体" w:eastAsia="仿宋_GB2312"/>
          <w:szCs w:val="32"/>
        </w:rPr>
        <w:t>更新高青县水利局信息公开指南，充实公开内容，扩大信息公开的广度和深度，提高信息工作的透明度，加大重点领域信息公开力度，将部门财政预决算、政府公开工作报告、部门权责清单和服务事项清单、随机抽查事项清单在县政府门户网站上一一进行了公开，接受群众监督。</w:t>
      </w:r>
    </w:p>
    <w:p>
      <w:pPr>
        <w:ind w:firstLine="640" w:firstLineChars="200"/>
        <w:jc w:val="left"/>
        <w:rPr>
          <w:rFonts w:ascii="楷体_GB2312" w:hAnsi="黑体" w:eastAsia="楷体_GB2312"/>
          <w:sz w:val="30"/>
          <w:szCs w:val="30"/>
        </w:rPr>
      </w:pPr>
      <w:r>
        <w:rPr>
          <w:rFonts w:hint="eastAsia" w:ascii="楷体_GB2312" w:hAnsi="楷体_GB2312" w:eastAsia="楷体_GB2312" w:cs="楷体_GB2312"/>
          <w:szCs w:val="32"/>
        </w:rPr>
        <w:t>（三）人大代表建议和政协委员提案办理结果公开情况</w:t>
      </w:r>
    </w:p>
    <w:p>
      <w:pPr>
        <w:spacing w:line="560" w:lineRule="exact"/>
        <w:ind w:firstLine="640" w:firstLineChars="200"/>
        <w:jc w:val="left"/>
        <w:rPr>
          <w:rFonts w:ascii="仿宋_GB2312" w:hAnsi="仿宋_GB2312" w:eastAsia="仿宋_GB2312" w:cs="仿宋_GB2312"/>
          <w:szCs w:val="32"/>
        </w:rPr>
      </w:pPr>
      <w:r>
        <w:rPr>
          <w:rFonts w:hint="eastAsia" w:ascii="仿宋_GB2312" w:hAnsi="黑体" w:eastAsia="仿宋_GB2312"/>
          <w:szCs w:val="32"/>
        </w:rPr>
        <w:t>2021年，</w:t>
      </w:r>
      <w:r>
        <w:rPr>
          <w:rFonts w:hint="eastAsia" w:ascii="仿宋_GB2312" w:hAnsi="仿宋_GB2312" w:eastAsia="仿宋_GB2312" w:cs="仿宋_GB2312"/>
          <w:szCs w:val="32"/>
        </w:rPr>
        <w:t>在县政府网站“建议提案办理”栏目主动公开</w:t>
      </w:r>
      <w:r>
        <w:rPr>
          <w:rFonts w:hint="eastAsia" w:ascii="仿宋_GB2312" w:hAnsi="黑体" w:eastAsia="仿宋_GB2312"/>
          <w:szCs w:val="32"/>
        </w:rPr>
        <w:t>县十七届人大五次会议建议办理结果4件、县政协十四届五次会议提案办理结果5件，并公开2021年建议提案办理总体情况。</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（四）政务公开工作创新情况</w:t>
      </w:r>
    </w:p>
    <w:p>
      <w:pPr>
        <w:ind w:firstLine="640" w:firstLineChars="200"/>
        <w:jc w:val="left"/>
        <w:rPr>
          <w:rFonts w:ascii="仿宋_GB2312" w:eastAsia="仿宋_GB2312"/>
          <w:szCs w:val="32"/>
        </w:rPr>
      </w:pPr>
      <w:r>
        <w:rPr>
          <w:rFonts w:hint="eastAsia" w:ascii="仿宋_GB2312" w:eastAsia="仿宋_GB2312"/>
          <w:szCs w:val="32"/>
        </w:rPr>
        <w:t>推动政务公开工作创新，完善政府信息公开形式。在进一步坚持和完善政府网站信息公开的基础上，使用</w:t>
      </w:r>
      <w:r>
        <w:rPr>
          <w:rFonts w:hint="eastAsia" w:ascii="仿宋_GB2312" w:hAnsi="仿宋_GB2312" w:eastAsia="仿宋_GB2312" w:cs="仿宋_GB2312"/>
          <w:szCs w:val="32"/>
          <w:lang w:bidi="ar"/>
        </w:rPr>
        <w:t>微信公众号、信息公开栏、电子屏等方式和途径，开展政府信息公开工作。加大“两微一端”政务新媒体宣传力度。</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（五）有关数据统计说明</w:t>
      </w:r>
    </w:p>
    <w:p>
      <w:pPr>
        <w:ind w:firstLine="640" w:firstLineChars="200"/>
        <w:jc w:val="left"/>
        <w:rPr>
          <w:rFonts w:ascii="仿宋_GB2312" w:eastAsia="仿宋_GB2312"/>
          <w:szCs w:val="32"/>
        </w:rPr>
      </w:pPr>
      <w:r>
        <w:rPr>
          <w:rFonts w:hint="eastAsia" w:ascii="仿宋_GB2312" w:eastAsia="仿宋_GB2312"/>
          <w:szCs w:val="32"/>
        </w:rPr>
        <w:t>报告中所列数据可能因四舍五入原因与数据直接相加之和存在尾数差异。</w:t>
      </w:r>
    </w:p>
    <w:p>
      <w:pPr>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（六）公共企事业单位信息公开工作开展情况</w:t>
      </w:r>
    </w:p>
    <w:p>
      <w:pPr>
        <w:ind w:firstLine="640" w:firstLineChars="200"/>
        <w:rPr>
          <w:rFonts w:ascii="仿宋_GB2312" w:eastAsia="仿宋_GB2312"/>
          <w:szCs w:val="32"/>
        </w:rPr>
      </w:pPr>
      <w:r>
        <w:rPr>
          <w:rFonts w:hint="eastAsia" w:ascii="仿宋_GB2312" w:eastAsia="仿宋_GB2312"/>
          <w:szCs w:val="32"/>
        </w:rPr>
        <w:t>在县政府网站主动及时公开城市供水单位高青县丰源水务有限公司管理制度、内设机构、便民服务热线电话，公开城市供水突发事故应急预案，每季度按时发布出厂水水质检测报告，接受群众监督。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117733"/>
    <w:rsid w:val="00121DCF"/>
    <w:rsid w:val="001A12F5"/>
    <w:rsid w:val="00211942"/>
    <w:rsid w:val="002E3543"/>
    <w:rsid w:val="00415AB1"/>
    <w:rsid w:val="00591E5D"/>
    <w:rsid w:val="00666803"/>
    <w:rsid w:val="00673AC7"/>
    <w:rsid w:val="006D517B"/>
    <w:rsid w:val="00704FCD"/>
    <w:rsid w:val="007B5FDA"/>
    <w:rsid w:val="008C4ED2"/>
    <w:rsid w:val="00904D9C"/>
    <w:rsid w:val="009B028C"/>
    <w:rsid w:val="00BE3411"/>
    <w:rsid w:val="00C67940"/>
    <w:rsid w:val="00C73391"/>
    <w:rsid w:val="00CC2BE7"/>
    <w:rsid w:val="00CD1D00"/>
    <w:rsid w:val="00E66BAE"/>
    <w:rsid w:val="00EA0721"/>
    <w:rsid w:val="00EF5607"/>
    <w:rsid w:val="00F20351"/>
    <w:rsid w:val="00F8702D"/>
    <w:rsid w:val="00FA216A"/>
    <w:rsid w:val="00FA5BEA"/>
    <w:rsid w:val="00FD5381"/>
    <w:rsid w:val="1088060B"/>
    <w:rsid w:val="10933CC8"/>
    <w:rsid w:val="11124F95"/>
    <w:rsid w:val="18AD07D5"/>
    <w:rsid w:val="1D3F02D4"/>
    <w:rsid w:val="23EB74E2"/>
    <w:rsid w:val="2E692C72"/>
    <w:rsid w:val="308A649E"/>
    <w:rsid w:val="36F73F13"/>
    <w:rsid w:val="3B2F7BB2"/>
    <w:rsid w:val="3CA05208"/>
    <w:rsid w:val="3DD27F9B"/>
    <w:rsid w:val="444D427C"/>
    <w:rsid w:val="4D0A1544"/>
    <w:rsid w:val="506774A4"/>
    <w:rsid w:val="61D12D40"/>
    <w:rsid w:val="627041ED"/>
    <w:rsid w:val="65C71414"/>
    <w:rsid w:val="67D94B1D"/>
    <w:rsid w:val="68714411"/>
    <w:rsid w:val="74EB531A"/>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spacing w:beforeAutospacing="1" w:afterAutospacing="1"/>
      <w:jc w:val="left"/>
    </w:pPr>
    <w:rPr>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4">
    <w:name w:val="批注框文本 Char"/>
    <w:basedOn w:val="10"/>
    <w:link w:val="3"/>
    <w:semiHidden/>
    <w:qFormat/>
    <w:uiPriority w:val="99"/>
    <w:rPr>
      <w:rFonts w:eastAsia="方正仿宋_GBK"/>
      <w:snapToGrid w:val="0"/>
      <w:sz w:val="18"/>
      <w:szCs w:val="18"/>
    </w:rPr>
  </w:style>
  <w:style w:type="character" w:customStyle="1" w:styleId="15">
    <w:name w:val="批注文字 Char"/>
    <w:basedOn w:val="10"/>
    <w:link w:val="2"/>
    <w:semiHidden/>
    <w:qFormat/>
    <w:uiPriority w:val="99"/>
    <w:rPr>
      <w:rFonts w:eastAsia="方正仿宋_GBK"/>
      <w:snapToGrid w:val="0"/>
      <w:sz w:val="32"/>
    </w:rPr>
  </w:style>
  <w:style w:type="character" w:customStyle="1" w:styleId="16">
    <w:name w:val="批注主题 Char"/>
    <w:basedOn w:val="15"/>
    <w:link w:val="7"/>
    <w:semiHidden/>
    <w:qFormat/>
    <w:uiPriority w:val="99"/>
    <w:rPr>
      <w:rFonts w:eastAsia="方正仿宋_GBK"/>
      <w:b/>
      <w:bCs/>
      <w:snapToGrid w:val="0"/>
      <w:sz w:val="32"/>
    </w:rPr>
  </w:style>
  <w:style w:type="paragraph" w:customStyle="1" w:styleId="17">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年政府信息公开数量</a:t>
            </a:r>
            <a:endParaRPr lang="zh-CN" altLang="en-US"/>
          </a:p>
        </c:rich>
      </c:tx>
      <c:layout/>
      <c:overlay val="0"/>
      <c:spPr>
        <a:noFill/>
        <a:ln>
          <a:noFill/>
        </a:ln>
        <a:effectLst/>
      </c:spPr>
    </c:title>
    <c:autoTitleDeleted val="0"/>
    <c:view3D>
      <c:rotX val="30"/>
      <c:rotY val="3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信息公开数量</c:v>
                </c:pt>
              </c:strCache>
            </c:strRef>
          </c:tx>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Pt>
            <c:idx val="7"/>
            <c:bubble3D val="0"/>
            <c:spPr>
              <a:solidFill>
                <a:schemeClr val="accent2">
                  <a:lumMod val="60000"/>
                </a:schemeClr>
              </a:solidFill>
              <a:ln w="25400">
                <a:solidFill>
                  <a:schemeClr val="lt1"/>
                </a:solidFill>
              </a:ln>
              <a:effectLst/>
            </c:spPr>
          </c:dPt>
          <c:dPt>
            <c:idx val="8"/>
            <c:bubble3D val="0"/>
            <c:spPr>
              <a:solidFill>
                <a:schemeClr val="accent3">
                  <a:lumMod val="60000"/>
                </a:schemeClr>
              </a:solidFill>
              <a:ln w="25400">
                <a:solidFill>
                  <a:schemeClr val="lt1"/>
                </a:solidFill>
              </a:ln>
              <a:effectLst/>
            </c:spPr>
          </c:dPt>
          <c:dPt>
            <c:idx val="9"/>
            <c:bubble3D val="0"/>
            <c:spPr>
              <a:solidFill>
                <a:schemeClr val="accent4">
                  <a:lumMod val="60000"/>
                </a:schemeClr>
              </a:solidFill>
              <a:ln w="25400">
                <a:solidFill>
                  <a:schemeClr val="lt1"/>
                </a:solidFill>
              </a:ln>
              <a:effectLst/>
            </c:spPr>
          </c:dPt>
          <c:dLbls>
            <c:delete val="1"/>
          </c:dLbls>
          <c:cat>
            <c:strRef>
              <c:f>Sheet1!$A$2:$A$11</c:f>
              <c:strCache>
                <c:ptCount val="10"/>
                <c:pt idx="0">
                  <c:v>重要部署执行</c:v>
                </c:pt>
                <c:pt idx="1">
                  <c:v>行政执法信息</c:v>
                </c:pt>
                <c:pt idx="2">
                  <c:v>双随机一公开</c:v>
                </c:pt>
                <c:pt idx="3">
                  <c:v>供水厂出水安全</c:v>
                </c:pt>
                <c:pt idx="4">
                  <c:v>政策文件</c:v>
                </c:pt>
                <c:pt idx="5">
                  <c:v>机构职能</c:v>
                </c:pt>
                <c:pt idx="6">
                  <c:v>建议提案办理</c:v>
                </c:pt>
                <c:pt idx="7">
                  <c:v>财政信息</c:v>
                </c:pt>
                <c:pt idx="8">
                  <c:v>河长制工作情况</c:v>
                </c:pt>
                <c:pt idx="9">
                  <c:v>政务公开组织管理</c:v>
                </c:pt>
              </c:strCache>
            </c:strRef>
          </c:cat>
          <c:val>
            <c:numRef>
              <c:f>Sheet1!$B$2:$B$11</c:f>
              <c:numCache>
                <c:formatCode>General</c:formatCode>
                <c:ptCount val="10"/>
                <c:pt idx="0">
                  <c:v>10</c:v>
                </c:pt>
                <c:pt idx="1">
                  <c:v>10</c:v>
                </c:pt>
                <c:pt idx="2">
                  <c:v>8</c:v>
                </c:pt>
                <c:pt idx="3">
                  <c:v>8</c:v>
                </c:pt>
                <c:pt idx="4">
                  <c:v>6</c:v>
                </c:pt>
                <c:pt idx="5">
                  <c:v>1</c:v>
                </c:pt>
                <c:pt idx="6">
                  <c:v>10</c:v>
                </c:pt>
                <c:pt idx="7">
                  <c:v>4</c:v>
                </c:pt>
                <c:pt idx="8">
                  <c:v>10</c:v>
                </c:pt>
                <c:pt idx="9">
                  <c:v>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533</Words>
  <Characters>3043</Characters>
  <Lines>25</Lines>
  <Paragraphs>7</Paragraphs>
  <TotalTime>190</TotalTime>
  <ScaleCrop>false</ScaleCrop>
  <LinksUpToDate>false</LinksUpToDate>
  <CharactersWithSpaces>3569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cp:lastPrinted>2022-01-11T05:59:00Z</cp:lastPrinted>
  <dcterms:modified xsi:type="dcterms:W3CDTF">2022-01-30T06:09:51Z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FA0E060CAE684A229F18367DCA1E0A56</vt:lpwstr>
  </property>
</Properties>
</file>