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高青县水务局2009年度政府信息公开工作年度报告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rPr>
          <w:rFonts w:ascii="仿宋" w:hAnsi="仿宋" w:eastAsia="仿宋" w:cs="仿宋"/>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ascii="仿宋" w:hAnsi="仿宋" w:eastAsia="仿宋" w:cs="仿宋"/>
          <w:sz w:val="31"/>
          <w:szCs w:val="31"/>
        </w:rPr>
        <w:t>本报告按照《中华人民共和国政府信息公开条例》（以下简称《条例》）和《山东省政府信息公开办法》（以下简称《办法》）规定编制。报告中所列数据统计期限自2009年1月1日始</w:t>
      </w:r>
      <w:bookmarkStart w:id="0" w:name="_GoBack"/>
      <w:bookmarkEnd w:id="0"/>
      <w:r>
        <w:rPr>
          <w:rFonts w:ascii="仿宋" w:hAnsi="仿宋" w:eastAsia="仿宋" w:cs="仿宋"/>
          <w:sz w:val="31"/>
          <w:szCs w:val="31"/>
        </w:rPr>
        <w:t>，至2009年12月31日止。报告电子版可在高青县人民政府门户网站（www.gaoqing.gov.cn）查阅和下载。如对报告内容有疑问，请与高青县水务局联系（地址：高青县城中心路37号；邮编：256300；电话：0533-6962141；传真：0533-6962141）。</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hint="eastAsia" w:ascii="仿宋" w:hAnsi="仿宋" w:eastAsia="仿宋" w:cs="仿宋"/>
          <w:sz w:val="31"/>
          <w:szCs w:val="31"/>
        </w:rPr>
        <w:t>一、概述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hint="eastAsia" w:ascii="仿宋" w:hAnsi="仿宋" w:eastAsia="仿宋" w:cs="仿宋"/>
          <w:sz w:val="31"/>
          <w:szCs w:val="31"/>
        </w:rPr>
        <w:t>2009年，高青县水务局认真贯彻落实党的十九大精神，以落实国务院办公厅《关于印发2009年政务公开工作要点的通知》（国办发〔2009〕24号）、省政府办公厅《关于印发2009年山东省政务公开工作要点的通知》（鲁政办发〔2009〕39号）和市政府办公厅《关于印发2009年淄博市政务公开工作要点的通知》（淄政办发〔2009〕17号）等文件为重点，坚持改革创新和需求导向，建立健全政务公开制度体系，全面推进决策、执行、管理、服务、结果公开，积极回应社会关切和公众期盼，全力保障人民群众的知情权、参与权和监督权。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ascii="楷体" w:hAnsi="楷体" w:eastAsia="楷体" w:cs="楷体"/>
          <w:sz w:val="31"/>
          <w:szCs w:val="31"/>
        </w:rPr>
        <w:t>（一）加强组织领导，优化队伍建设。</w:t>
      </w:r>
      <w:r>
        <w:rPr>
          <w:rFonts w:hint="eastAsia" w:ascii="仿宋" w:hAnsi="仿宋" w:eastAsia="仿宋" w:cs="仿宋"/>
          <w:sz w:val="31"/>
          <w:szCs w:val="31"/>
        </w:rPr>
        <w:t>政务公开工作列入单位领导分工。进一步明确局办公室作为政务公开工作主管科室，具体负责组织协调、指导推进、监督检查全县政务公开工作，切实做到机构到位、责任到位、人员到位、经费到位，政务公开工作队伍建设进一步加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hint="eastAsia" w:ascii="楷体" w:hAnsi="楷体" w:eastAsia="楷体" w:cs="楷体"/>
          <w:sz w:val="31"/>
          <w:szCs w:val="31"/>
        </w:rPr>
        <w:t>（二）完善制度机制，强力部署推进。</w:t>
      </w:r>
      <w:r>
        <w:rPr>
          <w:rFonts w:hint="eastAsia" w:ascii="仿宋" w:hAnsi="仿宋" w:eastAsia="仿宋" w:cs="仿宋"/>
          <w:sz w:val="31"/>
          <w:szCs w:val="31"/>
        </w:rPr>
        <w:t>国办发〔2009〕24号文件、鲁政办发〔2009〕39号文件和淄政办发〔2009〕17号文件下发后，我单位高度重视，出台了《2009年高青县水务局政务公开工作实施方案》、完善修订了《高青县水务局政务公开制度》，进一步明确重点领域、公开事项、公开方式、责任单位等具体要求，就做好2009年政务公开作出部署，切实抓好各项任务落实。加强公文公开属性管理，文件拟稿纸设有公开属性栏目，文件起草审核过程中同步确定其公开属性，规范发布程序和渠道。</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hint="eastAsia" w:ascii="楷体" w:hAnsi="楷体" w:eastAsia="楷体" w:cs="楷体"/>
          <w:sz w:val="31"/>
          <w:szCs w:val="31"/>
        </w:rPr>
        <w:t>（三）加强平台建设，拓展公开渠道。</w:t>
      </w:r>
      <w:r>
        <w:rPr>
          <w:rFonts w:hint="eastAsia" w:ascii="仿宋" w:hAnsi="仿宋" w:eastAsia="仿宋" w:cs="仿宋"/>
          <w:sz w:val="31"/>
          <w:szCs w:val="31"/>
        </w:rPr>
        <w:t>充分发挥政府网站作为政务公开第一平台作用，按时维护更新政府信息公开目录、政府信息依申请公开、政府信息公开监督信箱等栏目。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hint="eastAsia" w:ascii="仿宋" w:hAnsi="仿宋" w:eastAsia="仿宋" w:cs="仿宋"/>
          <w:sz w:val="31"/>
          <w:szCs w:val="31"/>
        </w:rPr>
        <w:t>二、主动公开政府信息情况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hint="eastAsia" w:ascii="仿宋" w:hAnsi="仿宋" w:eastAsia="仿宋" w:cs="仿宋"/>
          <w:sz w:val="31"/>
          <w:szCs w:val="31"/>
        </w:rPr>
        <w:t>2009年，县水务局主动公开政府信息60条。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hint="eastAsia" w:ascii="仿宋" w:hAnsi="仿宋" w:eastAsia="仿宋" w:cs="仿宋"/>
          <w:sz w:val="31"/>
          <w:szCs w:val="31"/>
        </w:rPr>
        <w:t>按照《高青县人民政府办公室关于印发高青县2009年政务公开工作要点的通知》（高政办发〔2009〕31号）要求，2009年，县水务局利用高青政务网等平台及时、主动受理各项行政审批事项11件，办结率、好评率均为100%。利用高青县政务网、高青水务微信公众号等媒体主动公开12条。利用“政民互动”、“民生热线”等平台受理各类咨询、投诉、建议52条，办结率100%，做到了有诉必查、有查必果，件件有回音，项项有着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（一）政府信息公开体制机制建设情况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ascii="仿宋_GB2312" w:hAnsi="仿宋" w:eastAsia="仿宋_GB2312" w:cs="仿宋_GB2312"/>
          <w:sz w:val="31"/>
          <w:szCs w:val="31"/>
        </w:rPr>
        <w:t>一是强化部署推动。局党组将深化政务公开、大力营造风清气正的政务生态写入</w:t>
      </w:r>
      <w:r>
        <w:rPr>
          <w:rFonts w:hint="default" w:ascii="Times New Roman" w:hAnsi="Times New Roman" w:eastAsia="仿宋" w:cs="Times New Roman"/>
          <w:sz w:val="31"/>
          <w:szCs w:val="31"/>
        </w:rPr>
        <w:t>2008</w:t>
      </w:r>
      <w:r>
        <w:rPr>
          <w:rFonts w:hint="eastAsia" w:ascii="仿宋_GB2312" w:hAnsi="仿宋" w:eastAsia="仿宋_GB2312" w:cs="仿宋_GB2312"/>
          <w:sz w:val="31"/>
          <w:szCs w:val="31"/>
        </w:rPr>
        <w:t>年度工作报告，统一部署，统筹推进；局党组会议将政府信息公开工作列入议题；继续明确由副局长分管政务公开工作，并向社会公开。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（二）主动公开政府信息情况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人大代表建议和政协委员提案办理结果公开方面：按照《高青县人民政府办公室关于做好2009年度政府系统建议提案办理工作的通知》（高政办字〔2009〕14号）要求，在县政府网站“建议提案办理”栏目主动公开人大代表建议和政协委员提案办理情况。2009年主动公开县政府承办的3件县人大代表建议、2件县政协委员提案的整体办理情况，对涉及公共利益、公众权益、社会关切及需要社会广泛知晓的建议和提案办理复文全文予以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（三）依申请公开情况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对于申请的信息可以公开的，提供该政府信息，或者告知申请人获取该政府信息的方式、途径和时间；对于申请的信息不属于本机关公开范围的，告知申请人并说明理由，能够确定公开机关的，告知申请人该机关的名称和联系方式；对于较为复杂的申请件，主动与申请人沟通，了解群众需求，避免因误解引起行政复议或行政诉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hint="default" w:ascii="Times New Roman" w:hAnsi="Times New Roman" w:eastAsia="仿宋" w:cs="Times New Roman"/>
          <w:sz w:val="31"/>
          <w:szCs w:val="31"/>
        </w:rPr>
        <w:t>1.</w:t>
      </w:r>
      <w:r>
        <w:rPr>
          <w:rFonts w:hint="eastAsia" w:ascii="仿宋_GB2312" w:hAnsi="仿宋" w:eastAsia="仿宋_GB2312" w:cs="仿宋_GB2312"/>
          <w:sz w:val="31"/>
          <w:szCs w:val="31"/>
        </w:rPr>
        <w:t>收到和处理政府信息公开申请情况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hint="eastAsia" w:ascii="仿宋" w:hAnsi="仿宋" w:eastAsia="仿宋" w:cs="仿宋"/>
          <w:sz w:val="31"/>
          <w:szCs w:val="31"/>
        </w:rPr>
        <w:t>2009</w:t>
      </w:r>
      <w:r>
        <w:rPr>
          <w:rFonts w:hint="eastAsia" w:ascii="仿宋_GB2312" w:hAnsi="仿宋" w:eastAsia="仿宋_GB2312" w:cs="仿宋_GB2312"/>
          <w:sz w:val="31"/>
          <w:szCs w:val="31"/>
        </w:rPr>
        <w:t>年，高青县水利局共收到政府信息公开申请</w:t>
      </w:r>
      <w:r>
        <w:rPr>
          <w:rFonts w:hint="default" w:ascii="Times New Roman" w:hAnsi="Times New Roman" w:eastAsia="仿宋" w:cs="Times New Roman"/>
          <w:sz w:val="31"/>
          <w:szCs w:val="31"/>
        </w:rPr>
        <w:t>10</w:t>
      </w:r>
      <w:r>
        <w:rPr>
          <w:rFonts w:hint="eastAsia" w:ascii="仿宋_GB2312" w:hAnsi="仿宋" w:eastAsia="仿宋_GB2312" w:cs="仿宋_GB2312"/>
          <w:sz w:val="31"/>
          <w:szCs w:val="31"/>
        </w:rPr>
        <w:t>件，</w:t>
      </w:r>
      <w:r>
        <w:rPr>
          <w:rFonts w:hint="default" w:ascii="Times New Roman" w:hAnsi="Times New Roman" w:eastAsia="仿宋" w:cs="Times New Roman"/>
          <w:sz w:val="31"/>
          <w:szCs w:val="31"/>
        </w:rPr>
        <w:t>2008</w:t>
      </w:r>
      <w:r>
        <w:rPr>
          <w:rFonts w:hint="eastAsia" w:ascii="仿宋_GB2312" w:hAnsi="仿宋" w:eastAsia="仿宋_GB2312" w:cs="仿宋_GB2312"/>
          <w:sz w:val="31"/>
          <w:szCs w:val="31"/>
        </w:rPr>
        <w:t>年度结转政府信息公开申请</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hint="eastAsia" w:ascii="仿宋" w:hAnsi="仿宋" w:eastAsia="仿宋" w:cs="仿宋"/>
          <w:sz w:val="31"/>
          <w:szCs w:val="31"/>
        </w:rPr>
        <w:t>申请内容情况：政府信息公开申请的内容主要涉及供水、移民、灌区改造等方面。</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hint="eastAsia" w:ascii="仿宋_GB2312" w:hAnsi="仿宋" w:eastAsia="仿宋_GB2312" w:cs="仿宋_GB2312"/>
          <w:sz w:val="31"/>
          <w:szCs w:val="31"/>
        </w:rPr>
        <w:t>申请处理情况：</w:t>
      </w:r>
      <w:r>
        <w:rPr>
          <w:rFonts w:hint="default" w:ascii="Times New Roman" w:hAnsi="Times New Roman" w:eastAsia="仿宋" w:cs="Times New Roman"/>
          <w:sz w:val="31"/>
          <w:szCs w:val="31"/>
        </w:rPr>
        <w:t>2009</w:t>
      </w:r>
      <w:r>
        <w:rPr>
          <w:rFonts w:hint="eastAsia" w:ascii="仿宋_GB2312" w:hAnsi="仿宋" w:eastAsia="仿宋_GB2312" w:cs="仿宋_GB2312"/>
          <w:sz w:val="31"/>
          <w:szCs w:val="31"/>
        </w:rPr>
        <w:t>年共办结信息公开申请</w:t>
      </w:r>
      <w:r>
        <w:rPr>
          <w:rFonts w:hint="default" w:ascii="Times New Roman" w:hAnsi="Times New Roman" w:eastAsia="仿宋" w:cs="Times New Roman"/>
          <w:sz w:val="31"/>
          <w:szCs w:val="31"/>
        </w:rPr>
        <w:t>9</w:t>
      </w:r>
      <w:r>
        <w:rPr>
          <w:rFonts w:hint="eastAsia" w:ascii="仿宋_GB2312" w:hAnsi="仿宋" w:eastAsia="仿宋_GB2312" w:cs="仿宋_GB2312"/>
          <w:sz w:val="31"/>
          <w:szCs w:val="31"/>
        </w:rPr>
        <w:t>件。在答复的申请中：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hint="eastAsia" w:ascii="仿宋_GB2312" w:hAnsi="仿宋" w:eastAsia="仿宋_GB2312" w:cs="仿宋_GB2312"/>
          <w:sz w:val="31"/>
          <w:szCs w:val="31"/>
        </w:rPr>
        <w:t>予以公开的办件有</w:t>
      </w:r>
      <w:r>
        <w:rPr>
          <w:rFonts w:hint="default" w:ascii="Times New Roman" w:hAnsi="Times New Roman" w:eastAsia="仿宋" w:cs="Times New Roman"/>
          <w:sz w:val="31"/>
          <w:szCs w:val="31"/>
        </w:rPr>
        <w:t>9</w:t>
      </w:r>
      <w:r>
        <w:rPr>
          <w:rFonts w:hint="eastAsia" w:ascii="仿宋_GB2312" w:hAnsi="仿宋" w:eastAsia="仿宋_GB2312" w:cs="仿宋_GB2312"/>
          <w:sz w:val="31"/>
          <w:szCs w:val="31"/>
        </w:rPr>
        <w:t>件，占</w:t>
      </w:r>
      <w:r>
        <w:rPr>
          <w:rFonts w:hint="default" w:ascii="Times New Roman" w:hAnsi="Times New Roman" w:eastAsia="仿宋" w:cs="Times New Roman"/>
          <w:sz w:val="31"/>
          <w:szCs w:val="31"/>
        </w:rPr>
        <w:t>100 %</w:t>
      </w:r>
      <w:r>
        <w:rPr>
          <w:rFonts w:hint="eastAsia" w:ascii="仿宋_GB2312" w:hAnsi="仿宋" w:eastAsia="仿宋_GB2312" w:cs="仿宋_GB2312"/>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hint="eastAsia" w:ascii="仿宋_GB2312" w:hAnsi="仿宋" w:eastAsia="仿宋_GB2312" w:cs="仿宋_GB2312"/>
          <w:sz w:val="31"/>
          <w:szCs w:val="31"/>
        </w:rPr>
        <w:t>部分公开的有</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件，占</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hint="eastAsia" w:ascii="仿宋_GB2312" w:hAnsi="仿宋" w:eastAsia="仿宋_GB2312" w:cs="仿宋_GB2312"/>
          <w:sz w:val="31"/>
          <w:szCs w:val="31"/>
        </w:rPr>
        <w:t>不予公开的有</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hint="eastAsia" w:ascii="仿宋_GB2312" w:hAnsi="仿宋" w:eastAsia="仿宋_GB2312" w:cs="仿宋_GB2312"/>
          <w:sz w:val="31"/>
          <w:szCs w:val="31"/>
        </w:rPr>
        <w:t>无法提供的办件有</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件，占</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rPr>
        <w:t>   </w:t>
      </w:r>
      <w:r>
        <w:rPr>
          <w:color w:val="auto"/>
          <w:u w:val="none"/>
        </w:rPr>
        <w:drawing>
          <wp:inline distT="0" distB="0" distL="114300" distR="114300">
            <wp:extent cx="5276850" cy="3562350"/>
            <wp:effectExtent l="0" t="0" r="0" b="0"/>
            <wp:docPr id="1" name="图片 1" descr="1592977877.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92977877.jpg"/>
                    <pic:cNvPicPr>
                      <a:picLocks noChangeAspect="1"/>
                    </pic:cNvPicPr>
                  </pic:nvPicPr>
                  <pic:blipFill>
                    <a:blip r:embed="rId5"/>
                    <a:stretch>
                      <a:fillRect/>
                    </a:stretch>
                  </pic:blipFill>
                  <pic:spPr>
                    <a:xfrm>
                      <a:off x="0" y="0"/>
                      <a:ext cx="5276850" cy="3562350"/>
                    </a:xfrm>
                    <a:prstGeom prst="rect">
                      <a:avLst/>
                    </a:prstGeom>
                    <a:noFill/>
                    <a:ln w="9525">
                      <a:noFill/>
                    </a:ln>
                  </pic:spPr>
                </pic:pic>
              </a:graphicData>
            </a:graphic>
          </wp:inline>
        </w:drawing>
      </w:r>
      <w:r>
        <w:br w:type="textWrapping"/>
      </w:r>
      <w:r>
        <w:rPr>
          <w:rFonts w:hint="eastAsia" w:ascii="仿宋" w:hAnsi="仿宋" w:eastAsia="仿宋" w:cs="仿宋"/>
        </w:rPr>
        <w:t>           </w:t>
      </w:r>
      <w:r>
        <w:rPr>
          <w:rFonts w:hint="default" w:ascii="Times New Roman" w:hAnsi="Times New Roman" w:eastAsia="仿宋" w:cs="Times New Roman"/>
          <w:sz w:val="31"/>
          <w:szCs w:val="31"/>
        </w:rPr>
        <w:t>2.</w:t>
      </w:r>
      <w:r>
        <w:rPr>
          <w:rFonts w:hint="eastAsia" w:ascii="仿宋_GB2312" w:hAnsi="仿宋" w:eastAsia="仿宋_GB2312" w:cs="仿宋_GB2312"/>
          <w:sz w:val="31"/>
          <w:szCs w:val="31"/>
        </w:rPr>
        <w:t>收费及减免情况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本年度，全县各级各部门在政府信息公开申请办理过程中，未收取任何费用。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default" w:ascii="Times New Roman" w:hAnsi="Times New Roman" w:eastAsia="仿宋" w:cs="Times New Roman"/>
          <w:sz w:val="31"/>
          <w:szCs w:val="31"/>
        </w:rPr>
        <w:t>3.</w:t>
      </w:r>
      <w:r>
        <w:rPr>
          <w:rFonts w:hint="eastAsia" w:ascii="仿宋_GB2312" w:hAnsi="仿宋" w:eastAsia="仿宋_GB2312" w:cs="仿宋_GB2312"/>
          <w:sz w:val="31"/>
          <w:szCs w:val="31"/>
        </w:rPr>
        <w:t>政府信息公开行政复议、行政诉讼情况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default" w:ascii="Times New Roman" w:hAnsi="Times New Roman" w:eastAsia="仿宋" w:cs="Times New Roman"/>
          <w:sz w:val="31"/>
          <w:szCs w:val="31"/>
        </w:rPr>
        <w:t>2009</w:t>
      </w:r>
      <w:r>
        <w:rPr>
          <w:rFonts w:hint="eastAsia" w:ascii="仿宋_GB2312" w:hAnsi="仿宋" w:eastAsia="仿宋_GB2312" w:cs="仿宋_GB2312"/>
          <w:sz w:val="31"/>
          <w:szCs w:val="31"/>
        </w:rPr>
        <w:t>年，全县各级共发生政府信息公开行政复议</w:t>
      </w:r>
      <w:r>
        <w:rPr>
          <w:rFonts w:hint="default" w:ascii="Times New Roman" w:hAnsi="Times New Roman" w:eastAsia="仿宋" w:cs="Times New Roman"/>
          <w:sz w:val="31"/>
          <w:szCs w:val="31"/>
        </w:rPr>
        <w:t>12</w:t>
      </w:r>
      <w:r>
        <w:rPr>
          <w:rFonts w:hint="eastAsia" w:ascii="仿宋_GB2312" w:hAnsi="仿宋" w:eastAsia="仿宋_GB2312" w:cs="仿宋_GB2312"/>
          <w:sz w:val="31"/>
          <w:szCs w:val="31"/>
        </w:rPr>
        <w:t>件，其中：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_GB2312" w:hAnsi="仿宋" w:eastAsia="仿宋_GB2312" w:cs="仿宋_GB2312"/>
          <w:sz w:val="31"/>
          <w:szCs w:val="31"/>
        </w:rPr>
        <w:t>结果维持</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件，占</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_GB2312" w:hAnsi="仿宋" w:eastAsia="仿宋_GB2312" w:cs="仿宋_GB2312"/>
          <w:sz w:val="31"/>
          <w:szCs w:val="31"/>
        </w:rPr>
        <w:t>发生政府信息公开行政诉讼</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件，其中：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_GB2312" w:hAnsi="仿宋" w:eastAsia="仿宋_GB2312" w:cs="仿宋_GB2312"/>
          <w:sz w:val="31"/>
          <w:szCs w:val="31"/>
        </w:rPr>
        <w:t>未经复议直接起诉</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件（结果维持</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件），占</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_GB2312" w:hAnsi="仿宋" w:eastAsia="仿宋_GB2312" w:cs="仿宋_GB2312"/>
          <w:sz w:val="31"/>
          <w:szCs w:val="31"/>
        </w:rPr>
        <w:t>复议后起诉</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件（其中，结果维持</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件，结果纠正</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件，其他结果</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件），占</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rPr>
        <w:t>              </w:t>
      </w:r>
      <w:r>
        <w:rPr>
          <w:color w:val="auto"/>
          <w:u w:val="none"/>
        </w:rPr>
        <w:drawing>
          <wp:inline distT="0" distB="0" distL="114300" distR="114300">
            <wp:extent cx="5010150" cy="2876550"/>
            <wp:effectExtent l="0" t="0" r="0" b="0"/>
            <wp:docPr id="2" name="图片 2" descr="1592977990(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92977990(1).jpg"/>
                    <pic:cNvPicPr>
                      <a:picLocks noChangeAspect="1"/>
                    </pic:cNvPicPr>
                  </pic:nvPicPr>
                  <pic:blipFill>
                    <a:blip r:embed="rId7"/>
                    <a:stretch>
                      <a:fillRect/>
                    </a:stretch>
                  </pic:blipFill>
                  <pic:spPr>
                    <a:xfrm>
                      <a:off x="0" y="0"/>
                      <a:ext cx="5010150" cy="2876550"/>
                    </a:xfrm>
                    <a:prstGeom prst="rect">
                      <a:avLst/>
                    </a:prstGeom>
                    <a:noFill/>
                    <a:ln w="9525">
                      <a:noFill/>
                    </a:ln>
                  </pic:spPr>
                </pic:pic>
              </a:graphicData>
            </a:graphic>
          </wp:inline>
        </w:drawing>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hint="eastAsia" w:ascii="仿宋" w:hAnsi="仿宋" w:eastAsia="仿宋" w:cs="仿宋"/>
          <w:sz w:val="31"/>
          <w:szCs w:val="31"/>
        </w:rPr>
        <w:t>      （四）政府信息管理情况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一是加强政府信息规范管理，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_GB2312" w:hAnsi="仿宋" w:eastAsia="仿宋_GB2312" w:cs="仿宋_GB2312"/>
          <w:sz w:val="31"/>
          <w:szCs w:val="31"/>
        </w:rPr>
        <w:t>二是加强政府信息公开培训，召开了</w:t>
      </w:r>
      <w:r>
        <w:rPr>
          <w:rFonts w:hint="default" w:ascii="Times New Roman" w:hAnsi="Times New Roman" w:eastAsia="仿宋" w:cs="Times New Roman"/>
          <w:sz w:val="31"/>
          <w:szCs w:val="31"/>
        </w:rPr>
        <w:t>1</w:t>
      </w:r>
      <w:r>
        <w:rPr>
          <w:rFonts w:hint="eastAsia" w:ascii="仿宋_GB2312" w:hAnsi="仿宋" w:eastAsia="仿宋_GB2312" w:cs="仿宋_GB2312"/>
          <w:sz w:val="31"/>
          <w:szCs w:val="31"/>
        </w:rPr>
        <w:t>次培训会，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  （五）政府信息公开平台、机构建设和人员情况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一是加强平台建设。强化门户网站政务公开第一平台作用，完善信息公开目录，加大重点领域信息公开力度，在门户网站新开设“领导信息”栏目，全面公开领导班子成员分工和工作简历，接受社会监督。加大政务微博、微信等新媒体平台的政务公开力度，统筹推进政务新媒体与政府网站的协同联动、融合发展，提升信息发布、解读回应、政民互动、办事服务的整体水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_GB2312" w:hAnsi="仿宋" w:eastAsia="仿宋_GB2312" w:cs="仿宋_GB2312"/>
          <w:sz w:val="31"/>
          <w:szCs w:val="31"/>
        </w:rPr>
        <w:t>二是强化机构建设。水务局办公室作为县水务局政府信息公开主管部门，统筹负责水利信息公开组织协调、指导推进、监督检查等工作。水务局办公室作为政府信息公开工作具体科室，</w:t>
      </w:r>
      <w:r>
        <w:rPr>
          <w:rFonts w:hint="default" w:ascii="Times New Roman" w:hAnsi="Times New Roman" w:eastAsia="仿宋" w:cs="Times New Roman"/>
          <w:sz w:val="31"/>
          <w:szCs w:val="31"/>
        </w:rPr>
        <w:t>2</w:t>
      </w:r>
      <w:r>
        <w:rPr>
          <w:rFonts w:hint="eastAsia" w:ascii="仿宋_GB2312" w:hAnsi="仿宋" w:eastAsia="仿宋_GB2312" w:cs="仿宋_GB2312"/>
          <w:sz w:val="31"/>
          <w:szCs w:val="31"/>
        </w:rPr>
        <w:t>人负责政务公开工作，其中</w:t>
      </w:r>
      <w:r>
        <w:rPr>
          <w:rFonts w:hint="default" w:ascii="Times New Roman" w:hAnsi="Times New Roman" w:eastAsia="仿宋" w:cs="Times New Roman"/>
          <w:sz w:val="31"/>
          <w:szCs w:val="31"/>
        </w:rPr>
        <w:t>1</w:t>
      </w:r>
      <w:r>
        <w:rPr>
          <w:rFonts w:hint="eastAsia" w:ascii="仿宋_GB2312" w:hAnsi="仿宋" w:eastAsia="仿宋_GB2312" w:cs="仿宋_GB2312"/>
          <w:sz w:val="31"/>
          <w:szCs w:val="31"/>
        </w:rPr>
        <w:t>人专职，</w:t>
      </w:r>
      <w:r>
        <w:rPr>
          <w:rFonts w:hint="default" w:ascii="Times New Roman" w:hAnsi="Times New Roman" w:eastAsia="仿宋" w:cs="Times New Roman"/>
          <w:sz w:val="31"/>
          <w:szCs w:val="31"/>
        </w:rPr>
        <w:t>1</w:t>
      </w:r>
      <w:r>
        <w:rPr>
          <w:rFonts w:hint="eastAsia" w:ascii="仿宋_GB2312" w:hAnsi="仿宋" w:eastAsia="仿宋_GB2312" w:cs="仿宋_GB2312"/>
          <w:sz w:val="31"/>
          <w:szCs w:val="31"/>
        </w:rPr>
        <w:t>人兼职。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 （六）监督保障情况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一是加强工作考核。</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hint="eastAsia" w:ascii="仿宋" w:hAnsi="仿宋" w:eastAsia="仿宋" w:cs="仿宋"/>
          <w:sz w:val="31"/>
          <w:szCs w:val="31"/>
        </w:rPr>
        <w:t>二是强化责任追究。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二、主动公开政府信息情况</w:t>
      </w:r>
    </w:p>
    <w:tbl>
      <w:tblPr>
        <w:tblW w:w="8925"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695"/>
        <w:gridCol w:w="1979"/>
        <w:gridCol w:w="2023"/>
        <w:gridCol w:w="2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15" w:type="dxa"/>
        </w:trPr>
        <w:tc>
          <w:tcPr>
            <w:tcW w:w="8925" w:type="dxa"/>
            <w:gridSpan w:val="4"/>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5" w:hRule="atLeast"/>
          <w:tblCellSpacing w:w="15" w:type="dxa"/>
        </w:trPr>
        <w:tc>
          <w:tcPr>
            <w:tcW w:w="27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信息内容</w:t>
            </w:r>
          </w:p>
        </w:tc>
        <w:tc>
          <w:tcPr>
            <w:tcW w:w="198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本年新制作数量</w:t>
            </w:r>
          </w:p>
        </w:tc>
        <w:tc>
          <w:tcPr>
            <w:tcW w:w="202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本年新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公开数量</w:t>
            </w:r>
          </w:p>
        </w:tc>
        <w:tc>
          <w:tcPr>
            <w:tcW w:w="22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对外公开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5" w:hRule="atLeast"/>
          <w:tblCellSpacing w:w="15" w:type="dxa"/>
        </w:trPr>
        <w:tc>
          <w:tcPr>
            <w:tcW w:w="27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textAlignment w:val="auto"/>
            </w:pPr>
            <w:r>
              <w:rPr>
                <w:rFonts w:hint="eastAsia" w:ascii="仿宋" w:hAnsi="仿宋" w:eastAsia="仿宋" w:cs="仿宋"/>
                <w:sz w:val="24"/>
                <w:szCs w:val="24"/>
                <w:bdr w:val="none" w:color="auto" w:sz="0" w:space="0"/>
              </w:rPr>
              <w:t>规章</w:t>
            </w:r>
          </w:p>
        </w:tc>
        <w:tc>
          <w:tcPr>
            <w:tcW w:w="198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0</w:t>
            </w:r>
          </w:p>
        </w:tc>
        <w:tc>
          <w:tcPr>
            <w:tcW w:w="202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0</w:t>
            </w:r>
          </w:p>
        </w:tc>
        <w:tc>
          <w:tcPr>
            <w:tcW w:w="22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trPr>
        <w:tc>
          <w:tcPr>
            <w:tcW w:w="27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textAlignment w:val="auto"/>
            </w:pPr>
            <w:r>
              <w:rPr>
                <w:rFonts w:hint="eastAsia" w:ascii="仿宋" w:hAnsi="仿宋" w:eastAsia="仿宋" w:cs="仿宋"/>
                <w:sz w:val="24"/>
                <w:szCs w:val="24"/>
                <w:bdr w:val="none" w:color="auto" w:sz="0" w:space="0"/>
              </w:rPr>
              <w:t>规范性文件</w:t>
            </w:r>
          </w:p>
        </w:tc>
        <w:tc>
          <w:tcPr>
            <w:tcW w:w="198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0</w:t>
            </w:r>
          </w:p>
        </w:tc>
        <w:tc>
          <w:tcPr>
            <w:tcW w:w="202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0</w:t>
            </w:r>
          </w:p>
        </w:tc>
        <w:tc>
          <w:tcPr>
            <w:tcW w:w="22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blCellSpacing w:w="15" w:type="dxa"/>
        </w:trPr>
        <w:tc>
          <w:tcPr>
            <w:tcW w:w="8925" w:type="dxa"/>
            <w:gridSpan w:val="4"/>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blCellSpacing w:w="15" w:type="dxa"/>
        </w:trPr>
        <w:tc>
          <w:tcPr>
            <w:tcW w:w="27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信息内容</w:t>
            </w:r>
          </w:p>
        </w:tc>
        <w:tc>
          <w:tcPr>
            <w:tcW w:w="198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textAlignment w:val="auto"/>
            </w:pPr>
            <w:r>
              <w:rPr>
                <w:rFonts w:hint="eastAsia" w:ascii="仿宋" w:hAnsi="仿宋" w:eastAsia="仿宋" w:cs="仿宋"/>
                <w:sz w:val="24"/>
                <w:szCs w:val="24"/>
                <w:bdr w:val="none" w:color="auto" w:sz="0" w:space="0"/>
              </w:rPr>
              <w:t>上一年项目数量</w:t>
            </w:r>
          </w:p>
        </w:tc>
        <w:tc>
          <w:tcPr>
            <w:tcW w:w="202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宋体" w:hAnsi="宋体" w:eastAsia="宋体" w:cs="宋体"/>
                <w:sz w:val="24"/>
                <w:szCs w:val="24"/>
                <w:bdr w:val="none" w:color="auto" w:sz="0" w:space="0"/>
              </w:rPr>
              <w:t>本年增</w:t>
            </w:r>
            <w:r>
              <w:rPr>
                <w:rFonts w:hint="eastAsia" w:ascii="仿宋" w:hAnsi="仿宋" w:eastAsia="仿宋" w:cs="仿宋"/>
                <w:sz w:val="24"/>
                <w:szCs w:val="24"/>
                <w:bdr w:val="none" w:color="auto" w:sz="0" w:space="0"/>
              </w:rPr>
              <w:t>/</w:t>
            </w:r>
            <w:r>
              <w:rPr>
                <w:rFonts w:hint="eastAsia" w:ascii="宋体" w:hAnsi="宋体" w:eastAsia="宋体" w:cs="宋体"/>
                <w:sz w:val="24"/>
                <w:szCs w:val="24"/>
                <w:bdr w:val="none" w:color="auto" w:sz="0" w:space="0"/>
              </w:rPr>
              <w:t>减</w:t>
            </w:r>
          </w:p>
        </w:tc>
        <w:tc>
          <w:tcPr>
            <w:tcW w:w="22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27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textAlignment w:val="auto"/>
            </w:pPr>
            <w:r>
              <w:rPr>
                <w:rFonts w:hint="eastAsia" w:ascii="仿宋" w:hAnsi="仿宋" w:eastAsia="仿宋" w:cs="仿宋"/>
                <w:sz w:val="24"/>
                <w:szCs w:val="24"/>
                <w:bdr w:val="none" w:color="auto" w:sz="0" w:space="0"/>
              </w:rPr>
              <w:t>行政许可</w:t>
            </w:r>
          </w:p>
        </w:tc>
        <w:tc>
          <w:tcPr>
            <w:tcW w:w="198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9</w:t>
            </w:r>
          </w:p>
        </w:tc>
        <w:tc>
          <w:tcPr>
            <w:tcW w:w="202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宋体" w:hAnsi="宋体" w:eastAsia="宋体" w:cs="宋体"/>
                <w:sz w:val="24"/>
                <w:szCs w:val="24"/>
                <w:bdr w:val="none" w:color="auto" w:sz="0" w:space="0"/>
              </w:rPr>
              <w:t>增</w:t>
            </w:r>
            <w:r>
              <w:rPr>
                <w:rFonts w:hint="eastAsia" w:ascii="仿宋" w:hAnsi="仿宋" w:eastAsia="仿宋" w:cs="仿宋"/>
                <w:sz w:val="24"/>
                <w:szCs w:val="24"/>
                <w:bdr w:val="none" w:color="auto" w:sz="0" w:space="0"/>
              </w:rPr>
              <w:t>33</w:t>
            </w:r>
          </w:p>
        </w:tc>
        <w:tc>
          <w:tcPr>
            <w:tcW w:w="22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blCellSpacing w:w="15" w:type="dxa"/>
        </w:trPr>
        <w:tc>
          <w:tcPr>
            <w:tcW w:w="27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textAlignment w:val="auto"/>
            </w:pPr>
            <w:r>
              <w:rPr>
                <w:rFonts w:hint="eastAsia" w:ascii="仿宋" w:hAnsi="仿宋" w:eastAsia="仿宋" w:cs="仿宋"/>
                <w:sz w:val="24"/>
                <w:szCs w:val="24"/>
                <w:bdr w:val="none" w:color="auto" w:sz="0" w:space="0"/>
              </w:rPr>
              <w:t>其他对外管理服务事项</w:t>
            </w:r>
          </w:p>
        </w:tc>
        <w:tc>
          <w:tcPr>
            <w:tcW w:w="198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0</w:t>
            </w:r>
          </w:p>
        </w:tc>
        <w:tc>
          <w:tcPr>
            <w:tcW w:w="202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宋体" w:hAnsi="宋体" w:eastAsia="宋体" w:cs="宋体"/>
                <w:sz w:val="24"/>
                <w:szCs w:val="24"/>
                <w:bdr w:val="none" w:color="auto" w:sz="0" w:space="0"/>
              </w:rPr>
              <w:t>增</w:t>
            </w:r>
            <w:r>
              <w:rPr>
                <w:rFonts w:hint="eastAsia" w:ascii="仿宋" w:hAnsi="仿宋" w:eastAsia="仿宋" w:cs="仿宋"/>
                <w:sz w:val="24"/>
                <w:szCs w:val="24"/>
                <w:bdr w:val="none" w:color="auto" w:sz="0" w:space="0"/>
              </w:rPr>
              <w:t>0</w:t>
            </w:r>
          </w:p>
        </w:tc>
        <w:tc>
          <w:tcPr>
            <w:tcW w:w="22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8925" w:type="dxa"/>
            <w:gridSpan w:val="4"/>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15" w:type="dxa"/>
        </w:trPr>
        <w:tc>
          <w:tcPr>
            <w:tcW w:w="27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信息内容</w:t>
            </w:r>
          </w:p>
        </w:tc>
        <w:tc>
          <w:tcPr>
            <w:tcW w:w="198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textAlignment w:val="auto"/>
            </w:pPr>
            <w:r>
              <w:rPr>
                <w:rFonts w:hint="eastAsia" w:ascii="仿宋" w:hAnsi="仿宋" w:eastAsia="仿宋" w:cs="仿宋"/>
                <w:sz w:val="24"/>
                <w:szCs w:val="24"/>
                <w:bdr w:val="none" w:color="auto" w:sz="0" w:space="0"/>
              </w:rPr>
              <w:t>上一年项目数量</w:t>
            </w:r>
          </w:p>
        </w:tc>
        <w:tc>
          <w:tcPr>
            <w:tcW w:w="202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宋体" w:hAnsi="宋体" w:eastAsia="宋体" w:cs="宋体"/>
                <w:sz w:val="24"/>
                <w:szCs w:val="24"/>
                <w:bdr w:val="none" w:color="auto" w:sz="0" w:space="0"/>
              </w:rPr>
              <w:t>本年增</w:t>
            </w:r>
            <w:r>
              <w:rPr>
                <w:rFonts w:hint="eastAsia" w:ascii="仿宋" w:hAnsi="仿宋" w:eastAsia="仿宋" w:cs="仿宋"/>
                <w:sz w:val="24"/>
                <w:szCs w:val="24"/>
                <w:bdr w:val="none" w:color="auto" w:sz="0" w:space="0"/>
              </w:rPr>
              <w:t>/</w:t>
            </w:r>
            <w:r>
              <w:rPr>
                <w:rFonts w:hint="eastAsia" w:ascii="宋体" w:hAnsi="宋体" w:eastAsia="宋体" w:cs="宋体"/>
                <w:sz w:val="24"/>
                <w:szCs w:val="24"/>
                <w:bdr w:val="none" w:color="auto" w:sz="0" w:space="0"/>
              </w:rPr>
              <w:t>减</w:t>
            </w:r>
          </w:p>
        </w:tc>
        <w:tc>
          <w:tcPr>
            <w:tcW w:w="22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5" w:hRule="atLeast"/>
          <w:tblCellSpacing w:w="15" w:type="dxa"/>
        </w:trPr>
        <w:tc>
          <w:tcPr>
            <w:tcW w:w="27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textAlignment w:val="auto"/>
            </w:pPr>
            <w:r>
              <w:rPr>
                <w:rFonts w:hint="eastAsia" w:ascii="仿宋" w:hAnsi="仿宋" w:eastAsia="仿宋" w:cs="仿宋"/>
                <w:sz w:val="24"/>
                <w:szCs w:val="24"/>
                <w:bdr w:val="none" w:color="auto" w:sz="0" w:space="0"/>
              </w:rPr>
              <w:t>行政处罚</w:t>
            </w:r>
          </w:p>
        </w:tc>
        <w:tc>
          <w:tcPr>
            <w:tcW w:w="198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3</w:t>
            </w:r>
          </w:p>
        </w:tc>
        <w:tc>
          <w:tcPr>
            <w:tcW w:w="202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宋体" w:hAnsi="宋体" w:eastAsia="宋体" w:cs="宋体"/>
                <w:sz w:val="24"/>
                <w:szCs w:val="24"/>
                <w:bdr w:val="none" w:color="auto" w:sz="0" w:space="0"/>
              </w:rPr>
              <w:t>减</w:t>
            </w:r>
            <w:r>
              <w:rPr>
                <w:rFonts w:hint="eastAsia" w:ascii="仿宋" w:hAnsi="仿宋" w:eastAsia="仿宋" w:cs="仿宋"/>
                <w:sz w:val="24"/>
                <w:szCs w:val="24"/>
                <w:bdr w:val="none" w:color="auto" w:sz="0" w:space="0"/>
              </w:rPr>
              <w:t>0</w:t>
            </w:r>
          </w:p>
        </w:tc>
        <w:tc>
          <w:tcPr>
            <w:tcW w:w="22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5" w:hRule="atLeast"/>
          <w:tblCellSpacing w:w="15" w:type="dxa"/>
        </w:trPr>
        <w:tc>
          <w:tcPr>
            <w:tcW w:w="27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textAlignment w:val="auto"/>
            </w:pPr>
            <w:r>
              <w:rPr>
                <w:rFonts w:hint="eastAsia" w:ascii="仿宋" w:hAnsi="仿宋" w:eastAsia="仿宋" w:cs="仿宋"/>
                <w:sz w:val="24"/>
                <w:szCs w:val="24"/>
                <w:bdr w:val="none" w:color="auto" w:sz="0" w:space="0"/>
              </w:rPr>
              <w:t>行政强制</w:t>
            </w:r>
          </w:p>
        </w:tc>
        <w:tc>
          <w:tcPr>
            <w:tcW w:w="198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3</w:t>
            </w:r>
          </w:p>
        </w:tc>
        <w:tc>
          <w:tcPr>
            <w:tcW w:w="202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宋体" w:hAnsi="宋体" w:eastAsia="宋体" w:cs="宋体"/>
                <w:sz w:val="24"/>
                <w:szCs w:val="24"/>
                <w:bdr w:val="none" w:color="auto" w:sz="0" w:space="0"/>
              </w:rPr>
              <w:t>减</w:t>
            </w:r>
            <w:r>
              <w:rPr>
                <w:rFonts w:hint="eastAsia" w:ascii="仿宋" w:hAnsi="仿宋" w:eastAsia="仿宋" w:cs="仿宋"/>
                <w:sz w:val="24"/>
                <w:szCs w:val="24"/>
                <w:bdr w:val="none" w:color="auto" w:sz="0" w:space="0"/>
              </w:rPr>
              <w:t>1</w:t>
            </w:r>
          </w:p>
        </w:tc>
        <w:tc>
          <w:tcPr>
            <w:tcW w:w="22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blCellSpacing w:w="15" w:type="dxa"/>
        </w:trPr>
        <w:tc>
          <w:tcPr>
            <w:tcW w:w="8925" w:type="dxa"/>
            <w:gridSpan w:val="4"/>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blCellSpacing w:w="15" w:type="dxa"/>
        </w:trPr>
        <w:tc>
          <w:tcPr>
            <w:tcW w:w="27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信息内容</w:t>
            </w:r>
          </w:p>
        </w:tc>
        <w:tc>
          <w:tcPr>
            <w:tcW w:w="198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textAlignment w:val="auto"/>
            </w:pPr>
            <w:r>
              <w:rPr>
                <w:rFonts w:hint="eastAsia" w:ascii="仿宋" w:hAnsi="仿宋" w:eastAsia="仿宋" w:cs="仿宋"/>
                <w:sz w:val="24"/>
                <w:szCs w:val="24"/>
                <w:bdr w:val="none" w:color="auto" w:sz="0" w:space="0"/>
              </w:rPr>
              <w:t>上一年项目数量</w:t>
            </w:r>
          </w:p>
        </w:tc>
        <w:tc>
          <w:tcPr>
            <w:tcW w:w="4245" w:type="dxa"/>
            <w:gridSpan w:val="2"/>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宋体" w:hAnsi="宋体" w:eastAsia="宋体" w:cs="宋体"/>
                <w:sz w:val="24"/>
                <w:szCs w:val="24"/>
                <w:bdr w:val="none" w:color="auto" w:sz="0" w:space="0"/>
              </w:rPr>
              <w:t>本年增</w:t>
            </w:r>
            <w:r>
              <w:rPr>
                <w:rFonts w:hint="eastAsia" w:ascii="仿宋" w:hAnsi="仿宋" w:eastAsia="仿宋" w:cs="仿宋"/>
                <w:sz w:val="24"/>
                <w:szCs w:val="24"/>
                <w:bdr w:val="none" w:color="auto" w:sz="0" w:space="0"/>
              </w:rPr>
              <w:t>/</w:t>
            </w:r>
            <w:r>
              <w:rPr>
                <w:rFonts w:hint="eastAsia" w:ascii="宋体" w:hAnsi="宋体" w:eastAsia="宋体" w:cs="宋体"/>
                <w:sz w:val="24"/>
                <w:szCs w:val="24"/>
                <w:bdr w:val="none" w:color="auto" w:sz="0" w:space="0"/>
              </w:rPr>
              <w:t>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blCellSpacing w:w="15" w:type="dxa"/>
        </w:trPr>
        <w:tc>
          <w:tcPr>
            <w:tcW w:w="27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textAlignment w:val="auto"/>
            </w:pPr>
            <w:r>
              <w:rPr>
                <w:rFonts w:hint="eastAsia" w:ascii="仿宋" w:hAnsi="仿宋" w:eastAsia="仿宋" w:cs="仿宋"/>
                <w:sz w:val="24"/>
                <w:szCs w:val="24"/>
                <w:bdr w:val="none" w:color="auto" w:sz="0" w:space="0"/>
              </w:rPr>
              <w:t>行政事业性收费</w:t>
            </w:r>
          </w:p>
        </w:tc>
        <w:tc>
          <w:tcPr>
            <w:tcW w:w="198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0</w:t>
            </w:r>
          </w:p>
        </w:tc>
        <w:tc>
          <w:tcPr>
            <w:tcW w:w="4245" w:type="dxa"/>
            <w:gridSpan w:val="2"/>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15" w:type="dxa"/>
        </w:trPr>
        <w:tc>
          <w:tcPr>
            <w:tcW w:w="8925" w:type="dxa"/>
            <w:gridSpan w:val="4"/>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27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信息内容</w:t>
            </w:r>
          </w:p>
        </w:tc>
        <w:tc>
          <w:tcPr>
            <w:tcW w:w="198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采购项目数量</w:t>
            </w:r>
          </w:p>
        </w:tc>
        <w:tc>
          <w:tcPr>
            <w:tcW w:w="4245" w:type="dxa"/>
            <w:gridSpan w:val="2"/>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5" w:hRule="atLeast"/>
          <w:tblCellSpacing w:w="15" w:type="dxa"/>
        </w:trPr>
        <w:tc>
          <w:tcPr>
            <w:tcW w:w="27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textAlignment w:val="auto"/>
            </w:pPr>
            <w:r>
              <w:rPr>
                <w:rFonts w:hint="eastAsia" w:ascii="仿宋" w:hAnsi="仿宋" w:eastAsia="仿宋" w:cs="仿宋"/>
                <w:sz w:val="24"/>
                <w:szCs w:val="24"/>
                <w:bdr w:val="none" w:color="auto" w:sz="0" w:space="0"/>
              </w:rPr>
              <w:t>政府集中采购</w:t>
            </w:r>
          </w:p>
        </w:tc>
        <w:tc>
          <w:tcPr>
            <w:tcW w:w="198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0</w:t>
            </w:r>
          </w:p>
        </w:tc>
        <w:tc>
          <w:tcPr>
            <w:tcW w:w="4245" w:type="dxa"/>
            <w:gridSpan w:val="2"/>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center"/>
              <w:textAlignment w:val="auto"/>
            </w:pPr>
            <w:r>
              <w:rPr>
                <w:rFonts w:hint="eastAsia" w:ascii="仿宋" w:hAnsi="仿宋" w:eastAsia="仿宋" w:cs="仿宋"/>
                <w:sz w:val="24"/>
                <w:szCs w:val="24"/>
                <w:bdr w:val="none" w:color="auto" w:sz="0" w:space="0"/>
              </w:rPr>
              <w:t>0</w:t>
            </w:r>
            <w:r>
              <w:rPr>
                <w:rFonts w:hint="eastAsia" w:ascii="宋体" w:hAnsi="宋体" w:eastAsia="宋体" w:cs="宋体"/>
                <w:sz w:val="24"/>
                <w:szCs w:val="24"/>
                <w:bdr w:val="none" w:color="auto" w:sz="0" w:space="0"/>
              </w:rPr>
              <w:t>万元</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三、收到和处理政府信息公开申请情况</w:t>
      </w:r>
    </w:p>
    <w:tbl>
      <w:tblPr>
        <w:tblW w:w="978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55"/>
        <w:gridCol w:w="1323"/>
        <w:gridCol w:w="1416"/>
        <w:gridCol w:w="850"/>
        <w:gridCol w:w="850"/>
        <w:gridCol w:w="850"/>
        <w:gridCol w:w="850"/>
        <w:gridCol w:w="850"/>
        <w:gridCol w:w="850"/>
        <w:gridCol w:w="8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blCellSpacing w:w="15" w:type="dxa"/>
        </w:trPr>
        <w:tc>
          <w:tcPr>
            <w:tcW w:w="4815" w:type="dxa"/>
            <w:gridSpan w:val="3"/>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（本列数据的勾稽关系为：第一项加第二项之和，等于第三项加第四项之和）</w:t>
            </w:r>
          </w:p>
        </w:tc>
        <w:tc>
          <w:tcPr>
            <w:tcW w:w="4965" w:type="dxa"/>
            <w:gridSpan w:val="7"/>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center"/>
              <w:textAlignment w:val="auto"/>
            </w:pPr>
            <w:r>
              <w:rPr>
                <w:rFonts w:hint="eastAsia" w:ascii="仿宋" w:hAnsi="仿宋" w:eastAsia="仿宋" w:cs="仿宋"/>
                <w:sz w:val="19"/>
                <w:szCs w:val="19"/>
                <w:bdr w:val="none" w:color="auto" w:sz="0" w:space="0"/>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tblCellSpacing w:w="15" w:type="dxa"/>
        </w:trPr>
        <w:tc>
          <w:tcPr>
            <w:tcW w:w="4815" w:type="dxa"/>
            <w:gridSpan w:val="3"/>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375"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center"/>
              <w:textAlignment w:val="auto"/>
            </w:pPr>
            <w:r>
              <w:rPr>
                <w:rFonts w:hint="eastAsia" w:ascii="仿宋" w:hAnsi="仿宋" w:eastAsia="仿宋" w:cs="仿宋"/>
                <w:sz w:val="19"/>
                <w:szCs w:val="19"/>
                <w:bdr w:val="none" w:color="auto" w:sz="0" w:space="0"/>
              </w:rPr>
              <w:t>自然人</w:t>
            </w:r>
          </w:p>
        </w:tc>
        <w:tc>
          <w:tcPr>
            <w:tcW w:w="3540" w:type="dxa"/>
            <w:gridSpan w:val="5"/>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center"/>
              <w:textAlignment w:val="auto"/>
            </w:pPr>
            <w:r>
              <w:rPr>
                <w:rFonts w:hint="eastAsia" w:ascii="仿宋" w:hAnsi="仿宋" w:eastAsia="仿宋" w:cs="仿宋"/>
                <w:sz w:val="19"/>
                <w:szCs w:val="19"/>
                <w:bdr w:val="none" w:color="auto" w:sz="0" w:space="0"/>
              </w:rPr>
              <w:t>法人或其他组织</w:t>
            </w:r>
          </w:p>
        </w:tc>
        <w:tc>
          <w:tcPr>
            <w:tcW w:w="855"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25" w:hRule="atLeast"/>
          <w:tblCellSpacing w:w="15" w:type="dxa"/>
        </w:trPr>
        <w:tc>
          <w:tcPr>
            <w:tcW w:w="4815" w:type="dxa"/>
            <w:gridSpan w:val="3"/>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商业企业</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科研机构</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社会公益组织</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法律服务机构</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其他</w:t>
            </w:r>
          </w:p>
        </w:tc>
        <w:tc>
          <w:tcPr>
            <w:tcW w:w="85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blCellSpacing w:w="15" w:type="dxa"/>
        </w:trPr>
        <w:tc>
          <w:tcPr>
            <w:tcW w:w="4815" w:type="dxa"/>
            <w:gridSpan w:val="3"/>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一、本年新收政府信息公开申请数量</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9</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10</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blCellSpacing w:w="15" w:type="dxa"/>
        </w:trPr>
        <w:tc>
          <w:tcPr>
            <w:tcW w:w="4815" w:type="dxa"/>
            <w:gridSpan w:val="3"/>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二、上年结转政府信息公开申请数量</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tblCellSpacing w:w="15" w:type="dxa"/>
        </w:trPr>
        <w:tc>
          <w:tcPr>
            <w:tcW w:w="375"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三、本年度办理结果</w:t>
            </w:r>
          </w:p>
        </w:tc>
        <w:tc>
          <w:tcPr>
            <w:tcW w:w="4260" w:type="dxa"/>
            <w:gridSpan w:val="2"/>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textAlignment w:val="auto"/>
            </w:pPr>
            <w:r>
              <w:rPr>
                <w:rFonts w:hint="eastAsia" w:ascii="仿宋" w:hAnsi="仿宋" w:eastAsia="仿宋" w:cs="仿宋"/>
                <w:sz w:val="18"/>
                <w:szCs w:val="18"/>
                <w:bdr w:val="none" w:color="auto" w:sz="0" w:space="0"/>
              </w:rPr>
              <w:t>（一）予以公开</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4260" w:type="dxa"/>
            <w:gridSpan w:val="2"/>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textAlignment w:val="auto"/>
            </w:pPr>
            <w:r>
              <w:rPr>
                <w:rFonts w:hint="eastAsia" w:ascii="仿宋" w:hAnsi="仿宋" w:eastAsia="仿宋" w:cs="仿宋"/>
                <w:sz w:val="18"/>
                <w:szCs w:val="18"/>
                <w:bdr w:val="none" w:color="auto" w:sz="0" w:space="0"/>
              </w:rPr>
              <w:t>（二）部分公开（区分处理的，只计这一情形，不计其他情形）</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1560"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textAlignment w:val="auto"/>
            </w:pPr>
            <w:r>
              <w:rPr>
                <w:rFonts w:hint="eastAsia" w:ascii="仿宋" w:hAnsi="仿宋" w:eastAsia="仿宋" w:cs="仿宋"/>
                <w:sz w:val="18"/>
                <w:szCs w:val="18"/>
                <w:bdr w:val="none" w:color="auto" w:sz="0" w:space="0"/>
              </w:rPr>
              <w:t>（三）不予公开</w:t>
            </w:r>
          </w:p>
        </w:tc>
        <w:tc>
          <w:tcPr>
            <w:tcW w:w="2700"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textAlignment w:val="auto"/>
            </w:pPr>
            <w:r>
              <w:rPr>
                <w:rFonts w:hint="eastAsia" w:ascii="仿宋" w:hAnsi="仿宋" w:eastAsia="仿宋" w:cs="仿宋"/>
                <w:sz w:val="18"/>
                <w:szCs w:val="18"/>
                <w:bdr w:val="none" w:color="auto" w:sz="0" w:space="0"/>
              </w:rPr>
              <w:t>1．属于国家秘密</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1560"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textAlignment w:val="auto"/>
            </w:pPr>
            <w:r>
              <w:rPr>
                <w:rFonts w:hint="eastAsia" w:ascii="仿宋" w:hAnsi="仿宋" w:eastAsia="仿宋" w:cs="仿宋"/>
                <w:sz w:val="18"/>
                <w:szCs w:val="18"/>
                <w:bdr w:val="none" w:color="auto" w:sz="0" w:space="0"/>
              </w:rPr>
              <w:t>2．其他法律行政法规禁止公开</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1560"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textAlignment w:val="auto"/>
            </w:pPr>
            <w:r>
              <w:rPr>
                <w:rFonts w:hint="eastAsia" w:ascii="仿宋" w:hAnsi="仿宋" w:eastAsia="仿宋" w:cs="仿宋"/>
                <w:sz w:val="18"/>
                <w:szCs w:val="18"/>
                <w:bdr w:val="none" w:color="auto" w:sz="0" w:space="0"/>
              </w:rPr>
              <w:t>3．危及“三安全一稳定”</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1560"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textAlignment w:val="auto"/>
            </w:pPr>
            <w:r>
              <w:rPr>
                <w:rFonts w:hint="eastAsia" w:ascii="仿宋" w:hAnsi="仿宋" w:eastAsia="仿宋" w:cs="仿宋"/>
                <w:sz w:val="18"/>
                <w:szCs w:val="18"/>
                <w:bdr w:val="none" w:color="auto" w:sz="0" w:space="0"/>
              </w:rPr>
              <w:t>4．保护第三方合法权益</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1560"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textAlignment w:val="auto"/>
            </w:pPr>
            <w:r>
              <w:rPr>
                <w:rFonts w:hint="eastAsia" w:ascii="仿宋" w:hAnsi="仿宋" w:eastAsia="仿宋" w:cs="仿宋"/>
                <w:sz w:val="18"/>
                <w:szCs w:val="18"/>
                <w:bdr w:val="none" w:color="auto" w:sz="0" w:space="0"/>
              </w:rPr>
              <w:t>5．属于三类内部事务信息</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1560"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textAlignment w:val="auto"/>
            </w:pPr>
            <w:r>
              <w:rPr>
                <w:rFonts w:hint="eastAsia" w:ascii="仿宋" w:hAnsi="仿宋" w:eastAsia="仿宋" w:cs="仿宋"/>
                <w:sz w:val="18"/>
                <w:szCs w:val="18"/>
                <w:bdr w:val="none" w:color="auto" w:sz="0" w:space="0"/>
              </w:rPr>
              <w:t>6．属于四类过程性信息</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1560"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textAlignment w:val="auto"/>
            </w:pPr>
            <w:r>
              <w:rPr>
                <w:rFonts w:hint="eastAsia" w:ascii="仿宋" w:hAnsi="仿宋" w:eastAsia="仿宋" w:cs="仿宋"/>
                <w:sz w:val="18"/>
                <w:szCs w:val="18"/>
                <w:bdr w:val="none" w:color="auto" w:sz="0" w:space="0"/>
              </w:rPr>
              <w:t>7．属于行政执法案卷</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1560"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textAlignment w:val="auto"/>
            </w:pPr>
            <w:r>
              <w:rPr>
                <w:rFonts w:hint="eastAsia" w:ascii="仿宋" w:hAnsi="仿宋" w:eastAsia="仿宋" w:cs="仿宋"/>
                <w:sz w:val="18"/>
                <w:szCs w:val="18"/>
                <w:bdr w:val="none" w:color="auto" w:sz="0" w:space="0"/>
              </w:rPr>
              <w:t>8．属于行政查询事项</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1560"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textAlignment w:val="auto"/>
            </w:pPr>
            <w:r>
              <w:rPr>
                <w:rFonts w:hint="eastAsia" w:ascii="仿宋" w:hAnsi="仿宋" w:eastAsia="仿宋" w:cs="仿宋"/>
                <w:sz w:val="18"/>
                <w:szCs w:val="18"/>
                <w:bdr w:val="none" w:color="auto" w:sz="0" w:space="0"/>
              </w:rPr>
              <w:t>（四）无法提供</w:t>
            </w:r>
          </w:p>
        </w:tc>
        <w:tc>
          <w:tcPr>
            <w:tcW w:w="2700"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textAlignment w:val="auto"/>
            </w:pPr>
            <w:r>
              <w:rPr>
                <w:rFonts w:hint="eastAsia" w:ascii="仿宋" w:hAnsi="仿宋" w:eastAsia="仿宋" w:cs="仿宋"/>
                <w:sz w:val="18"/>
                <w:szCs w:val="18"/>
                <w:bdr w:val="none" w:color="auto" w:sz="0" w:space="0"/>
              </w:rPr>
              <w:t>1．本机关不掌握相关政府信息</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1560"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textAlignment w:val="auto"/>
            </w:pPr>
            <w:r>
              <w:rPr>
                <w:rFonts w:hint="eastAsia" w:ascii="仿宋" w:hAnsi="仿宋" w:eastAsia="仿宋" w:cs="仿宋"/>
                <w:sz w:val="18"/>
                <w:szCs w:val="18"/>
                <w:bdr w:val="none" w:color="auto" w:sz="0" w:space="0"/>
              </w:rPr>
              <w:t>2．没有现成信息需要另行制作</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1560"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textAlignment w:val="auto"/>
            </w:pPr>
            <w:r>
              <w:rPr>
                <w:rFonts w:hint="eastAsia" w:ascii="仿宋" w:hAnsi="仿宋" w:eastAsia="仿宋" w:cs="仿宋"/>
                <w:sz w:val="18"/>
                <w:szCs w:val="18"/>
                <w:bdr w:val="none" w:color="auto" w:sz="0" w:space="0"/>
              </w:rPr>
              <w:t>3．补正后申请内容仍不明确</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1560"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textAlignment w:val="auto"/>
            </w:pPr>
            <w:r>
              <w:rPr>
                <w:rFonts w:hint="eastAsia" w:ascii="仿宋" w:hAnsi="仿宋" w:eastAsia="仿宋" w:cs="仿宋"/>
                <w:sz w:val="18"/>
                <w:szCs w:val="18"/>
                <w:bdr w:val="none" w:color="auto" w:sz="0" w:space="0"/>
              </w:rPr>
              <w:t>（五）不予处理</w:t>
            </w:r>
          </w:p>
        </w:tc>
        <w:tc>
          <w:tcPr>
            <w:tcW w:w="2700"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textAlignment w:val="auto"/>
            </w:pPr>
            <w:r>
              <w:rPr>
                <w:rFonts w:hint="eastAsia" w:ascii="仿宋" w:hAnsi="仿宋" w:eastAsia="仿宋" w:cs="仿宋"/>
                <w:sz w:val="18"/>
                <w:szCs w:val="18"/>
                <w:bdr w:val="none" w:color="auto" w:sz="0" w:space="0"/>
              </w:rPr>
              <w:t>1．信访举报投诉类申请</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1560"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textAlignment w:val="auto"/>
            </w:pPr>
            <w:r>
              <w:rPr>
                <w:rFonts w:hint="eastAsia" w:ascii="仿宋" w:hAnsi="仿宋" w:eastAsia="仿宋" w:cs="仿宋"/>
                <w:sz w:val="18"/>
                <w:szCs w:val="18"/>
                <w:bdr w:val="none" w:color="auto" w:sz="0" w:space="0"/>
              </w:rPr>
              <w:t>2．重复申请</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1560"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textAlignment w:val="auto"/>
            </w:pPr>
            <w:r>
              <w:rPr>
                <w:rFonts w:hint="eastAsia" w:ascii="仿宋" w:hAnsi="仿宋" w:eastAsia="仿宋" w:cs="仿宋"/>
                <w:sz w:val="18"/>
                <w:szCs w:val="18"/>
                <w:bdr w:val="none" w:color="auto" w:sz="0" w:space="0"/>
              </w:rPr>
              <w:t>3．要求提供公开出版物</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1560"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textAlignment w:val="auto"/>
            </w:pPr>
            <w:r>
              <w:rPr>
                <w:rFonts w:hint="eastAsia" w:ascii="仿宋" w:hAnsi="仿宋" w:eastAsia="仿宋" w:cs="仿宋"/>
                <w:sz w:val="18"/>
                <w:szCs w:val="18"/>
                <w:bdr w:val="none" w:color="auto" w:sz="0" w:space="0"/>
              </w:rPr>
              <w:t>4．无正当理由大量反复申请</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1560"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textAlignment w:val="auto"/>
            </w:pPr>
            <w:r>
              <w:rPr>
                <w:rFonts w:hint="eastAsia" w:ascii="仿宋" w:hAnsi="仿宋" w:eastAsia="仿宋" w:cs="仿宋"/>
                <w:sz w:val="18"/>
                <w:szCs w:val="18"/>
              </w:rPr>
              <w:t>5．要求行政机关确认或重新出具已获取信息</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4260" w:type="dxa"/>
            <w:gridSpan w:val="2"/>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textAlignment w:val="auto"/>
            </w:pPr>
            <w:r>
              <w:rPr>
                <w:rFonts w:hint="eastAsia" w:ascii="仿宋" w:hAnsi="仿宋" w:eastAsia="仿宋" w:cs="仿宋"/>
                <w:sz w:val="18"/>
                <w:szCs w:val="18"/>
                <w:bdr w:val="none" w:color="auto" w:sz="0" w:space="0"/>
              </w:rPr>
              <w:t>（六）其他处理</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4260" w:type="dxa"/>
            <w:gridSpan w:val="2"/>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textAlignment w:val="auto"/>
            </w:pPr>
            <w:r>
              <w:rPr>
                <w:rFonts w:hint="eastAsia" w:ascii="仿宋" w:hAnsi="仿宋" w:eastAsia="仿宋" w:cs="仿宋"/>
                <w:sz w:val="18"/>
                <w:szCs w:val="18"/>
                <w:bdr w:val="none" w:color="auto" w:sz="0" w:space="0"/>
              </w:rPr>
              <w:t>（七）总计</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9</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4815" w:type="dxa"/>
            <w:gridSpan w:val="3"/>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四、结转下年度继续办理</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textAlignment w:val="auto"/>
            </w:pPr>
            <w:r>
              <w:rPr>
                <w:rFonts w:hint="eastAsia" w:ascii="仿宋" w:hAnsi="仿宋" w:eastAsia="仿宋" w:cs="仿宋"/>
                <w:sz w:val="19"/>
                <w:szCs w:val="19"/>
                <w:bdr w:val="none" w:color="auto" w:sz="0" w:space="0"/>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hint="eastAsia" w:ascii="仿宋" w:hAnsi="仿宋" w:eastAsia="仿宋" w:cs="仿宋"/>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hint="eastAsia" w:ascii="仿宋" w:hAnsi="仿宋" w:eastAsia="仿宋" w:cs="仿宋"/>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hint="eastAsia" w:ascii="仿宋" w:hAnsi="仿宋" w:eastAsia="仿宋" w:cs="仿宋"/>
          <w:sz w:val="31"/>
          <w:szCs w:val="31"/>
        </w:rPr>
        <w:t>四、政府信息公开行政复议、行政诉讼情况</w:t>
      </w:r>
    </w:p>
    <w:tbl>
      <w:tblPr>
        <w:tblW w:w="1032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65"/>
        <w:gridCol w:w="850"/>
        <w:gridCol w:w="850"/>
        <w:gridCol w:w="850"/>
        <w:gridCol w:w="850"/>
        <w:gridCol w:w="850"/>
        <w:gridCol w:w="850"/>
        <w:gridCol w:w="850"/>
        <w:gridCol w:w="850"/>
        <w:gridCol w:w="850"/>
        <w:gridCol w:w="850"/>
        <w:gridCol w:w="850"/>
        <w:gridCol w:w="850"/>
        <w:gridCol w:w="850"/>
        <w:gridCol w:w="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blCellSpacing w:w="15" w:type="dxa"/>
        </w:trPr>
        <w:tc>
          <w:tcPr>
            <w:tcW w:w="2250" w:type="dxa"/>
            <w:gridSpan w:val="5"/>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center"/>
              <w:textAlignment w:val="auto"/>
            </w:pPr>
            <w:r>
              <w:rPr>
                <w:rFonts w:hint="eastAsia" w:ascii="仿宋" w:hAnsi="仿宋" w:eastAsia="仿宋" w:cs="仿宋"/>
                <w:sz w:val="19"/>
                <w:szCs w:val="19"/>
                <w:bdr w:val="none" w:color="auto" w:sz="0" w:space="0"/>
              </w:rPr>
              <w:t>行政复议</w:t>
            </w:r>
          </w:p>
        </w:tc>
        <w:tc>
          <w:tcPr>
            <w:tcW w:w="6915" w:type="dxa"/>
            <w:gridSpan w:val="10"/>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center"/>
              <w:textAlignment w:val="auto"/>
            </w:pPr>
            <w:r>
              <w:rPr>
                <w:rFonts w:hint="eastAsia" w:ascii="仿宋" w:hAnsi="仿宋" w:eastAsia="仿宋" w:cs="仿宋"/>
                <w:sz w:val="19"/>
                <w:szCs w:val="19"/>
                <w:bdr w:val="none" w:color="auto" w:sz="0" w:space="0"/>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blCellSpacing w:w="15" w:type="dxa"/>
        </w:trPr>
        <w:tc>
          <w:tcPr>
            <w:tcW w:w="705"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center"/>
              <w:textAlignment w:val="auto"/>
            </w:pPr>
            <w:r>
              <w:rPr>
                <w:rFonts w:hint="eastAsia" w:ascii="仿宋" w:hAnsi="仿宋" w:eastAsia="仿宋" w:cs="仿宋"/>
                <w:sz w:val="19"/>
                <w:szCs w:val="19"/>
                <w:bdr w:val="none" w:color="auto" w:sz="0" w:space="0"/>
              </w:rPr>
              <w:t>结果维持</w:t>
            </w:r>
          </w:p>
        </w:tc>
        <w:tc>
          <w:tcPr>
            <w:tcW w:w="705"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center"/>
              <w:textAlignment w:val="auto"/>
            </w:pPr>
            <w:r>
              <w:rPr>
                <w:rFonts w:hint="eastAsia" w:ascii="仿宋" w:hAnsi="仿宋" w:eastAsia="仿宋" w:cs="仿宋"/>
                <w:sz w:val="19"/>
                <w:szCs w:val="19"/>
                <w:bdr w:val="none" w:color="auto" w:sz="0" w:space="0"/>
              </w:rPr>
              <w:t>结果纠正</w:t>
            </w:r>
          </w:p>
        </w:tc>
        <w:tc>
          <w:tcPr>
            <w:tcW w:w="705"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center"/>
              <w:textAlignment w:val="auto"/>
            </w:pPr>
            <w:r>
              <w:rPr>
                <w:rFonts w:hint="eastAsia" w:ascii="仿宋" w:hAnsi="仿宋" w:eastAsia="仿宋" w:cs="仿宋"/>
                <w:sz w:val="19"/>
                <w:szCs w:val="19"/>
                <w:bdr w:val="none" w:color="auto" w:sz="0" w:space="0"/>
              </w:rPr>
              <w:t>其他结果</w:t>
            </w:r>
          </w:p>
        </w:tc>
        <w:tc>
          <w:tcPr>
            <w:tcW w:w="675"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center"/>
              <w:textAlignment w:val="auto"/>
            </w:pPr>
            <w:r>
              <w:rPr>
                <w:rFonts w:hint="eastAsia" w:ascii="仿宋" w:hAnsi="仿宋" w:eastAsia="仿宋" w:cs="仿宋"/>
                <w:sz w:val="19"/>
                <w:szCs w:val="19"/>
                <w:bdr w:val="none" w:color="auto" w:sz="0" w:space="0"/>
              </w:rPr>
              <w:t>尚未审结</w:t>
            </w:r>
          </w:p>
        </w:tc>
        <w:tc>
          <w:tcPr>
            <w:tcW w:w="600"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center"/>
              <w:textAlignment w:val="auto"/>
            </w:pPr>
            <w:r>
              <w:rPr>
                <w:rFonts w:hint="eastAsia" w:ascii="仿宋" w:hAnsi="仿宋" w:eastAsia="仿宋" w:cs="仿宋"/>
                <w:sz w:val="19"/>
                <w:szCs w:val="19"/>
                <w:bdr w:val="none" w:color="auto" w:sz="0" w:space="0"/>
              </w:rPr>
              <w:t>总计</w:t>
            </w:r>
          </w:p>
        </w:tc>
        <w:tc>
          <w:tcPr>
            <w:tcW w:w="2250" w:type="dxa"/>
            <w:gridSpan w:val="5"/>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center"/>
              <w:textAlignment w:val="auto"/>
            </w:pPr>
            <w:r>
              <w:rPr>
                <w:rFonts w:hint="eastAsia" w:ascii="仿宋" w:hAnsi="仿宋" w:eastAsia="仿宋" w:cs="仿宋"/>
                <w:sz w:val="19"/>
                <w:szCs w:val="19"/>
                <w:bdr w:val="none" w:color="auto" w:sz="0" w:space="0"/>
              </w:rPr>
              <w:t>未经复议直接起诉</w:t>
            </w:r>
          </w:p>
        </w:tc>
        <w:tc>
          <w:tcPr>
            <w:tcW w:w="3510" w:type="dxa"/>
            <w:gridSpan w:val="5"/>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center"/>
              <w:textAlignment w:val="auto"/>
            </w:pPr>
            <w:r>
              <w:rPr>
                <w:rFonts w:hint="eastAsia" w:ascii="仿宋" w:hAnsi="仿宋" w:eastAsia="仿宋" w:cs="仿宋"/>
                <w:sz w:val="19"/>
                <w:szCs w:val="19"/>
                <w:bdr w:val="none" w:color="auto" w:sz="0" w:space="0"/>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70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70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70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6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600"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firstLine="480" w:firstLineChars="200"/>
              <w:textAlignment w:val="auto"/>
              <w:rPr>
                <w:rFonts w:hint="eastAsia" w:ascii="宋体"/>
                <w:sz w:val="24"/>
                <w:szCs w:val="24"/>
              </w:rPr>
            </w:pP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center"/>
              <w:textAlignment w:val="auto"/>
            </w:pPr>
            <w:r>
              <w:rPr>
                <w:rFonts w:hint="eastAsia" w:ascii="仿宋" w:hAnsi="仿宋" w:eastAsia="仿宋" w:cs="仿宋"/>
                <w:sz w:val="19"/>
                <w:szCs w:val="19"/>
                <w:bdr w:val="none" w:color="auto" w:sz="0" w:space="0"/>
              </w:rPr>
              <w:t>结果维持</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center"/>
              <w:textAlignment w:val="auto"/>
            </w:pPr>
            <w:r>
              <w:rPr>
                <w:rFonts w:hint="eastAsia" w:ascii="仿宋" w:hAnsi="仿宋" w:eastAsia="仿宋" w:cs="仿宋"/>
                <w:sz w:val="19"/>
                <w:szCs w:val="19"/>
                <w:bdr w:val="none" w:color="auto" w:sz="0" w:space="0"/>
              </w:rPr>
              <w:t>结果纠正</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center"/>
              <w:textAlignment w:val="auto"/>
            </w:pPr>
            <w:r>
              <w:rPr>
                <w:rFonts w:hint="eastAsia" w:ascii="仿宋" w:hAnsi="仿宋" w:eastAsia="仿宋" w:cs="仿宋"/>
                <w:sz w:val="19"/>
                <w:szCs w:val="19"/>
                <w:bdr w:val="none" w:color="auto" w:sz="0" w:space="0"/>
              </w:rPr>
              <w:t>其他结果</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center"/>
              <w:textAlignment w:val="auto"/>
            </w:pPr>
            <w:r>
              <w:rPr>
                <w:rFonts w:hint="eastAsia" w:ascii="仿宋" w:hAnsi="仿宋" w:eastAsia="仿宋" w:cs="仿宋"/>
                <w:sz w:val="19"/>
                <w:szCs w:val="19"/>
                <w:bdr w:val="none" w:color="auto" w:sz="0" w:space="0"/>
              </w:rPr>
              <w:t>尚未审结</w:t>
            </w:r>
          </w:p>
        </w:tc>
        <w:tc>
          <w:tcPr>
            <w:tcW w:w="37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center"/>
              <w:textAlignment w:val="auto"/>
            </w:pPr>
            <w:r>
              <w:rPr>
                <w:rFonts w:hint="eastAsia" w:ascii="仿宋" w:hAnsi="仿宋" w:eastAsia="仿宋" w:cs="仿宋"/>
                <w:sz w:val="19"/>
                <w:szCs w:val="19"/>
                <w:bdr w:val="none" w:color="auto" w:sz="0" w:space="0"/>
              </w:rPr>
              <w:t>总计</w:t>
            </w:r>
          </w:p>
        </w:tc>
        <w:tc>
          <w:tcPr>
            <w:tcW w:w="85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center"/>
              <w:textAlignment w:val="auto"/>
            </w:pPr>
            <w:r>
              <w:rPr>
                <w:rFonts w:hint="eastAsia" w:ascii="仿宋" w:hAnsi="仿宋" w:eastAsia="仿宋" w:cs="仿宋"/>
                <w:sz w:val="19"/>
                <w:szCs w:val="19"/>
                <w:bdr w:val="none" w:color="auto" w:sz="0" w:space="0"/>
              </w:rPr>
              <w:t>结果维持</w:t>
            </w:r>
          </w:p>
        </w:tc>
        <w:tc>
          <w:tcPr>
            <w:tcW w:w="64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center"/>
              <w:textAlignment w:val="auto"/>
            </w:pPr>
            <w:r>
              <w:rPr>
                <w:rFonts w:hint="eastAsia" w:ascii="仿宋" w:hAnsi="仿宋" w:eastAsia="仿宋" w:cs="仿宋"/>
                <w:sz w:val="19"/>
                <w:szCs w:val="19"/>
                <w:bdr w:val="none" w:color="auto" w:sz="0" w:space="0"/>
              </w:rPr>
              <w:t>结果纠正</w:t>
            </w:r>
          </w:p>
        </w:tc>
        <w:tc>
          <w:tcPr>
            <w:tcW w:w="76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center"/>
              <w:textAlignment w:val="auto"/>
            </w:pPr>
            <w:r>
              <w:rPr>
                <w:rFonts w:hint="eastAsia" w:ascii="仿宋" w:hAnsi="仿宋" w:eastAsia="仿宋" w:cs="仿宋"/>
                <w:sz w:val="19"/>
                <w:szCs w:val="19"/>
                <w:bdr w:val="none" w:color="auto" w:sz="0" w:space="0"/>
              </w:rPr>
              <w:t>其他结果</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center"/>
              <w:textAlignment w:val="auto"/>
            </w:pPr>
            <w:r>
              <w:rPr>
                <w:rFonts w:hint="eastAsia" w:ascii="仿宋" w:hAnsi="仿宋" w:eastAsia="仿宋" w:cs="仿宋"/>
                <w:sz w:val="19"/>
                <w:szCs w:val="19"/>
                <w:bdr w:val="none" w:color="auto" w:sz="0" w:space="0"/>
              </w:rPr>
              <w:t>尚未审结</w:t>
            </w:r>
          </w:p>
        </w:tc>
        <w:tc>
          <w:tcPr>
            <w:tcW w:w="54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center"/>
              <w:textAlignment w:val="auto"/>
            </w:pPr>
            <w:r>
              <w:rPr>
                <w:rFonts w:hint="eastAsia" w:ascii="仿宋" w:hAnsi="仿宋" w:eastAsia="仿宋" w:cs="仿宋"/>
                <w:sz w:val="19"/>
                <w:szCs w:val="19"/>
                <w:bdr w:val="none" w:color="auto" w:sz="0" w:space="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textAlignment w:val="auto"/>
            </w:pPr>
            <w:r>
              <w:rPr>
                <w:rFonts w:hint="eastAsia" w:ascii="仿宋" w:hAnsi="仿宋" w:eastAsia="仿宋" w:cs="仿宋"/>
                <w:sz w:val="24"/>
                <w:szCs w:val="24"/>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textAlignment w:val="auto"/>
            </w:pPr>
            <w:r>
              <w:rPr>
                <w:rFonts w:hint="eastAsia" w:ascii="仿宋" w:hAnsi="仿宋" w:eastAsia="仿宋" w:cs="仿宋"/>
                <w:sz w:val="24"/>
                <w:szCs w:val="24"/>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textAlignment w:val="auto"/>
            </w:pPr>
            <w:r>
              <w:rPr>
                <w:rFonts w:hint="eastAsia" w:ascii="仿宋" w:hAnsi="仿宋" w:eastAsia="仿宋" w:cs="仿宋"/>
                <w:sz w:val="24"/>
                <w:szCs w:val="24"/>
                <w:bdr w:val="none" w:color="auto" w:sz="0" w:space="0"/>
              </w:rPr>
              <w:t>0</w:t>
            </w:r>
          </w:p>
        </w:tc>
        <w:tc>
          <w:tcPr>
            <w:tcW w:w="67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textAlignment w:val="auto"/>
            </w:pPr>
            <w:r>
              <w:rPr>
                <w:rFonts w:hint="eastAsia" w:ascii="仿宋" w:hAnsi="仿宋" w:eastAsia="仿宋" w:cs="仿宋"/>
                <w:sz w:val="24"/>
                <w:szCs w:val="24"/>
                <w:bdr w:val="none" w:color="auto" w:sz="0" w:space="0"/>
              </w:rPr>
              <w:t>0</w:t>
            </w:r>
          </w:p>
        </w:tc>
        <w:tc>
          <w:tcPr>
            <w:tcW w:w="6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textAlignment w:val="auto"/>
            </w:pPr>
            <w:r>
              <w:rPr>
                <w:rFonts w:hint="eastAsia" w:ascii="仿宋" w:hAnsi="仿宋" w:eastAsia="仿宋" w:cs="仿宋"/>
                <w:sz w:val="24"/>
                <w:szCs w:val="24"/>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textAlignment w:val="auto"/>
            </w:pPr>
            <w:r>
              <w:rPr>
                <w:rFonts w:hint="eastAsia" w:ascii="仿宋" w:hAnsi="仿宋" w:eastAsia="仿宋" w:cs="仿宋"/>
                <w:sz w:val="24"/>
                <w:szCs w:val="24"/>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textAlignment w:val="auto"/>
            </w:pPr>
            <w:r>
              <w:rPr>
                <w:rFonts w:hint="eastAsia" w:ascii="仿宋" w:hAnsi="仿宋" w:eastAsia="仿宋" w:cs="仿宋"/>
                <w:sz w:val="24"/>
                <w:szCs w:val="24"/>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textAlignment w:val="auto"/>
            </w:pPr>
            <w:r>
              <w:rPr>
                <w:rFonts w:hint="eastAsia" w:ascii="仿宋" w:hAnsi="仿宋" w:eastAsia="仿宋" w:cs="仿宋"/>
                <w:sz w:val="24"/>
                <w:szCs w:val="24"/>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textAlignment w:val="auto"/>
            </w:pPr>
            <w:r>
              <w:rPr>
                <w:rFonts w:hint="eastAsia" w:ascii="仿宋" w:hAnsi="仿宋" w:eastAsia="仿宋" w:cs="仿宋"/>
                <w:sz w:val="24"/>
                <w:szCs w:val="24"/>
                <w:bdr w:val="none" w:color="auto" w:sz="0" w:space="0"/>
              </w:rPr>
              <w:t>0</w:t>
            </w:r>
          </w:p>
        </w:tc>
        <w:tc>
          <w:tcPr>
            <w:tcW w:w="37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textAlignment w:val="auto"/>
            </w:pPr>
            <w:r>
              <w:rPr>
                <w:rFonts w:hint="eastAsia" w:ascii="仿宋" w:hAnsi="仿宋" w:eastAsia="仿宋" w:cs="仿宋"/>
                <w:sz w:val="24"/>
                <w:szCs w:val="24"/>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textAlignment w:val="auto"/>
            </w:pPr>
            <w:r>
              <w:rPr>
                <w:rFonts w:hint="eastAsia" w:ascii="仿宋" w:hAnsi="仿宋" w:eastAsia="仿宋" w:cs="仿宋"/>
                <w:sz w:val="24"/>
                <w:szCs w:val="24"/>
                <w:bdr w:val="none" w:color="auto" w:sz="0" w:space="0"/>
              </w:rPr>
              <w:t>0</w:t>
            </w:r>
          </w:p>
        </w:tc>
        <w:tc>
          <w:tcPr>
            <w:tcW w:w="64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textAlignment w:val="auto"/>
            </w:pPr>
            <w:r>
              <w:rPr>
                <w:rFonts w:hint="eastAsia" w:ascii="仿宋" w:hAnsi="仿宋" w:eastAsia="仿宋" w:cs="仿宋"/>
                <w:sz w:val="24"/>
                <w:szCs w:val="24"/>
                <w:bdr w:val="none" w:color="auto" w:sz="0" w:space="0"/>
              </w:rPr>
              <w:t>0</w:t>
            </w:r>
          </w:p>
        </w:tc>
        <w:tc>
          <w:tcPr>
            <w:tcW w:w="76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textAlignment w:val="auto"/>
            </w:pPr>
            <w:r>
              <w:rPr>
                <w:rFonts w:hint="eastAsia" w:ascii="仿宋" w:hAnsi="仿宋" w:eastAsia="仿宋" w:cs="仿宋"/>
                <w:sz w:val="24"/>
                <w:szCs w:val="24"/>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textAlignment w:val="auto"/>
            </w:pPr>
            <w:r>
              <w:rPr>
                <w:rFonts w:hint="eastAsia" w:ascii="仿宋" w:hAnsi="仿宋" w:eastAsia="仿宋" w:cs="仿宋"/>
                <w:sz w:val="24"/>
                <w:szCs w:val="24"/>
                <w:bdr w:val="none" w:color="auto" w:sz="0" w:space="0"/>
              </w:rPr>
              <w:t>0</w:t>
            </w:r>
          </w:p>
        </w:tc>
        <w:tc>
          <w:tcPr>
            <w:tcW w:w="54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textAlignment w:val="auto"/>
            </w:pPr>
            <w:r>
              <w:rPr>
                <w:rFonts w:hint="eastAsia" w:ascii="仿宋" w:hAnsi="仿宋" w:eastAsia="仿宋" w:cs="仿宋"/>
                <w:sz w:val="24"/>
                <w:szCs w:val="24"/>
                <w:bdr w:val="none" w:color="auto" w:sz="0" w:space="0"/>
              </w:rPr>
              <w:t>0</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20" w:firstLineChars="200"/>
              <w:jc w:val="left"/>
              <w:textAlignment w:val="auto"/>
            </w:pP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textAlignment w:val="auto"/>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hint="eastAsia" w:ascii="仿宋" w:hAnsi="仿宋" w:eastAsia="仿宋" w:cs="仿宋"/>
          <w:sz w:val="31"/>
          <w:szCs w:val="31"/>
        </w:rPr>
        <w:t>三、依申请公开政府信息情况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hint="eastAsia" w:ascii="仿宋" w:hAnsi="仿宋" w:eastAsia="仿宋" w:cs="仿宋"/>
          <w:sz w:val="31"/>
          <w:szCs w:val="31"/>
        </w:rPr>
        <w:t>（一）依申请公开处理情况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hint="eastAsia" w:ascii="仿宋" w:hAnsi="仿宋" w:eastAsia="仿宋" w:cs="仿宋"/>
          <w:sz w:val="31"/>
          <w:szCs w:val="31"/>
        </w:rPr>
        <w:t>2009年，未有公民、法人或其他组织提出政府信息公开申请。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hint="eastAsia" w:ascii="仿宋" w:hAnsi="仿宋" w:eastAsia="仿宋" w:cs="仿宋"/>
          <w:sz w:val="31"/>
          <w:szCs w:val="31"/>
        </w:rPr>
        <w:t>（二）收费及减免情况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hint="eastAsia" w:ascii="仿宋" w:hAnsi="仿宋" w:eastAsia="仿宋" w:cs="仿宋"/>
          <w:sz w:val="31"/>
          <w:szCs w:val="31"/>
        </w:rPr>
        <w:t>本年度，县水务局在政府信息公开申请办理过程中，未收取任何费用。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hint="eastAsia" w:ascii="仿宋" w:hAnsi="仿宋" w:eastAsia="仿宋" w:cs="仿宋"/>
          <w:sz w:val="31"/>
          <w:szCs w:val="31"/>
        </w:rPr>
        <w:t>四、政府信息公开复议诉讼和举报情况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hint="eastAsia" w:ascii="仿宋" w:hAnsi="仿宋" w:eastAsia="仿宋" w:cs="仿宋"/>
          <w:sz w:val="31"/>
          <w:szCs w:val="31"/>
        </w:rPr>
        <w:t>2009年，我单位未发生政府信息公开行政诉讼，未收到政府信息公开工作群众举报。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hint="eastAsia" w:ascii="仿宋" w:hAnsi="仿宋" w:eastAsia="仿宋" w:cs="仿宋"/>
          <w:sz w:val="31"/>
          <w:szCs w:val="31"/>
        </w:rPr>
        <w:t>五、存在的不足及改进措施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hint="eastAsia" w:ascii="仿宋" w:hAnsi="仿宋" w:eastAsia="仿宋" w:cs="仿宋"/>
          <w:sz w:val="31"/>
          <w:szCs w:val="31"/>
        </w:rPr>
        <w:t>2009年，我局政府信息公开工作虽然取得了一定的成效但与上级的要求还存在一定差距和不足，与社会公众的需求相比仍有很大距离，主要表现为：政府信息公开管理制度有待进一步加强和健全；政策解读工作需要进一步加强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hint="eastAsia" w:ascii="仿宋" w:hAnsi="仿宋" w:eastAsia="仿宋" w:cs="仿宋"/>
          <w:sz w:val="31"/>
          <w:szCs w:val="31"/>
        </w:rPr>
        <w:t>2009年我局将重点抓好以下几个方面的工作：一是认真贯彻执行《政府信息公开条例》，进一步加强和完善政府信息公开工作；二是进一步健全政府信息公开管理制度；三是继续完善和充实政府信息公开内容，做到及时增删，确保信息公开内容的合法、全面、及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hint="eastAsia" w:ascii="仿宋" w:hAnsi="仿宋" w:eastAsia="仿宋" w:cs="仿宋"/>
          <w:sz w:val="31"/>
          <w:szCs w:val="31"/>
        </w:rPr>
        <w:t>                                                                                                                    高青县水务局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textAlignment w:val="auto"/>
      </w:pPr>
      <w:r>
        <w:rPr>
          <w:rFonts w:hint="eastAsia" w:ascii="仿宋" w:hAnsi="仿宋" w:eastAsia="仿宋" w:cs="仿宋"/>
          <w:sz w:val="31"/>
          <w:szCs w:val="31"/>
        </w:rPr>
        <w:t>                                             2010年3月22日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textAlignment w:val="auto"/>
      </w:pPr>
      <w:r>
        <w:t> </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0B0DBA"/>
    <w:rsid w:val="470B0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hyperlink" Target="http://www.gaoqing.gov.cn/picture/-1/200701103423962555.jpg" TargetMode="External"/><Relationship Id="rId5" Type="http://schemas.openxmlformats.org/officeDocument/2006/relationships/image" Target="media/image1.png"/><Relationship Id="rId4" Type="http://schemas.openxmlformats.org/officeDocument/2006/relationships/hyperlink" Target="http://www.gaoqing.gov.cn/picture/-1/200701103423810313.jp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2021-05-29T08:24:00Z</dcterms:created>
  <dc:creator>小六</dc:creator>
  <cp:lastModifiedBy>小六</cp:lastModifiedBy>
  <dcterms:modified xsi:type="dcterms:W3CDTF">2021-05-29T08:27:37Z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5A5B9A904DD043339C354ECB22BBD0B1</vt:lpwstr>
  </property>
</Properties>
</file>