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eastAsia="zh-CN"/>
        </w:rPr>
        <w:t>高青县水务局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fill="FFFFFF"/>
          <w:lang w:val="en-US" w:eastAsia="zh-CN"/>
        </w:rPr>
        <w:t>2015年政府信息公开工作年度报告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本报告由高青县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按照《中华人民共和国政府信息公开条例》（以下简称《条例》）和《山东省政府信息公开办法》要求编制，报告中所列数据的统计期限是2015年1月1日至2015年12月31日，报告的电子版可在高青县人民政府门户网站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t>www.gaoqing.gov.cn）查阅和下载。如对报告有疑问，请与高青县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t>联系（地址：高青县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eastAsia="zh-CN"/>
        </w:rPr>
        <w:t>中心路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t>号；邮编：256300；电话：0533-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6962141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t>；传真：0533-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  <w:lang w:val="en-US" w:eastAsia="zh-CN"/>
        </w:rPr>
        <w:t>6962141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一、政府信息公开工作概述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2015年，高青县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水务局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认真贯彻落实党的十八大及十八届三中、四中、五中全会和习近平总书记系列重要讲话精神，按照《条例》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及省、市、县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有关文件要求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加强组织领导。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领导高度重视政府信息公开工作，建立政府信息公开领导小组，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由副局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长为组长，单位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办公室牵头，各科室负责人对本科室的信息公开工作负责，做到有领导分管、有工作人员负责为做好政府信息公开工作提供了组织保障，确保了我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强化制度落实。我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严格按照县政府制定的政府信息公开工作相关规章制度开展工作。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2015年，我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主动公开的信息有信息公开指南、机构概况、内设机构、机构领导、政策法规、业务工作等。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我单位信息在县政府门户网站进行公开，群众可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通过县政府门户网站“政府信息公开”栏目查看我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公开的政府信息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内设置了信息告知栏公开政府信息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；我单位还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通过《高青工作》、“高青新闻”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、门口大屏幕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四、政府信息公开办理情况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2015年度，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我单位未收到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2015年度，无政府信息公开收费及减免情况。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　　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的信息公开工作与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上级要求的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高标准、严要求相比，还存在一定差距，公开形式不够丰富，政府信息公开平台建设滞后。2016年，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将进一步改进政府信息公开工作，进一步充实公开内容，突出重点、热点和难点问题，切实发挥好信息平台的桥梁作用。二是按照我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工作的业务特点，继续完善和充实政府信息公开内容，做到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对公开信息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</w:rPr>
        <w:t>，确保信息公开内容的合法、全面、及时。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B0681"/>
    <w:rsid w:val="0C0B0681"/>
    <w:rsid w:val="1553383D"/>
    <w:rsid w:val="2C72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0000FF"/>
      <w:u w:val="none"/>
    </w:rPr>
  </w:style>
  <w:style w:type="character" w:styleId="11">
    <w:name w:val="HTML Code"/>
    <w:basedOn w:val="4"/>
    <w:uiPriority w:val="0"/>
    <w:rPr>
      <w:rFonts w:ascii="Courier New" w:hAnsi="Courier New"/>
      <w:sz w:val="20"/>
    </w:rPr>
  </w:style>
  <w:style w:type="character" w:styleId="12">
    <w:name w:val="HTML Cite"/>
    <w:basedOn w:val="4"/>
    <w:uiPriority w:val="0"/>
  </w:style>
  <w:style w:type="character" w:styleId="13">
    <w:name w:val="HTML Keyboard"/>
    <w:basedOn w:val="4"/>
    <w:uiPriority w:val="0"/>
    <w:rPr>
      <w:rFonts w:ascii="Courier New" w:hAnsi="Courier New"/>
      <w:sz w:val="20"/>
    </w:rPr>
  </w:style>
  <w:style w:type="character" w:styleId="14">
    <w:name w:val="HTML Sample"/>
    <w:basedOn w:val="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2021-02-04T00:46:00Z</dcterms:created>
  <dc:creator>Administrator</dc:creator>
  <cp:lastModifiedBy>Administrator</cp:lastModifiedBy>
  <dcterms:modified xsi:type="dcterms:W3CDTF">2021-02-04T06:40:17Z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