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BC72B">
      <w:pPr>
        <w:spacing w:line="240" w:lineRule="auto"/>
        <w:ind w:firstLine="0"/>
        <w:rPr>
          <w:rFonts w:ascii="黑体" w:hAnsi="黑体" w:eastAsia="黑体"/>
        </w:rPr>
      </w:pPr>
    </w:p>
    <w:p w14:paraId="016F5984">
      <w:pPr>
        <w:spacing w:line="240" w:lineRule="auto"/>
        <w:ind w:firstLine="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淄博市生态环境局高青分局</w:t>
      </w:r>
    </w:p>
    <w:p w14:paraId="3EFB144A">
      <w:pPr>
        <w:spacing w:line="240" w:lineRule="auto"/>
        <w:ind w:firstLine="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5</w:t>
      </w:r>
      <w:r>
        <w:rPr>
          <w:rFonts w:hint="eastAsia" w:ascii="方正小标宋简体" w:hAnsi="黑体" w:eastAsia="方正小标宋简体"/>
          <w:sz w:val="44"/>
          <w:szCs w:val="44"/>
        </w:rPr>
        <w:t>年政府信息公开工作年度报告</w:t>
      </w:r>
    </w:p>
    <w:p w14:paraId="5DBA3227">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w:t>
      </w:r>
      <w:r>
        <w:rPr>
          <w:rFonts w:hint="eastAsia" w:ascii="仿宋_GB2312" w:eastAsia="仿宋_GB2312"/>
          <w:highlight w:val="none"/>
        </w:rPr>
        <w:t>报告全文分总体情况、主动公开政府信息情况、收到和处理政府信息公开申请情况、政府信息公开行政复议和行政诉讼情况、存在的主要问题及改进情况、其他需要报告</w:t>
      </w:r>
      <w:r>
        <w:rPr>
          <w:rFonts w:hint="eastAsia" w:ascii="仿宋_GB2312" w:eastAsia="仿宋_GB2312"/>
        </w:rPr>
        <w:t>的事项六个部分。</w:t>
      </w:r>
    </w:p>
    <w:p w14:paraId="5259FB31">
      <w:pPr>
        <w:spacing w:line="600" w:lineRule="exact"/>
        <w:ind w:firstLine="640" w:firstLineChars="200"/>
        <w:rPr>
          <w:rFonts w:ascii="仿宋_GB2312" w:hAnsi="黑体" w:eastAsia="仿宋_GB2312"/>
        </w:rPr>
      </w:pPr>
      <w:r>
        <w:rPr>
          <w:rFonts w:hint="eastAsia" w:ascii="仿宋_GB2312" w:eastAsia="仿宋_GB2312"/>
        </w:rPr>
        <w:t>报告中所列数据统计期限自202</w:t>
      </w:r>
      <w:r>
        <w:rPr>
          <w:rFonts w:hint="eastAsia" w:ascii="仿宋_GB2312" w:eastAsia="仿宋_GB2312"/>
          <w:lang w:val="en-US" w:eastAsia="zh-CN"/>
        </w:rPr>
        <w:t>5</w:t>
      </w:r>
      <w:r>
        <w:rPr>
          <w:rFonts w:hint="eastAsia" w:ascii="仿宋_GB2312" w:eastAsia="仿宋_GB2312"/>
        </w:rPr>
        <w:t>年1月1日始，至202</w:t>
      </w:r>
      <w:r>
        <w:rPr>
          <w:rFonts w:hint="eastAsia" w:ascii="仿宋_GB2312" w:eastAsia="仿宋_GB2312"/>
          <w:lang w:val="en-US" w:eastAsia="zh-CN"/>
        </w:rPr>
        <w:t>5</w:t>
      </w:r>
      <w:r>
        <w:rPr>
          <w:rFonts w:hint="eastAsia" w:ascii="仿宋_GB2312" w:eastAsia="仿宋_GB2312"/>
        </w:rPr>
        <w:t>年12月31日止。报告电子版可在高青县人民政府门户网站（www.gaoqing.gov.cn）查阅和下载。如对报告内容有疑问，请与淄博市生态环境局高青分局办公室联系（地址：山东省淄博市高青县</w:t>
      </w:r>
      <w:r>
        <w:rPr>
          <w:rFonts w:hint="eastAsia" w:ascii="仿宋_GB2312" w:eastAsia="仿宋_GB2312"/>
          <w:lang w:val="en-US" w:eastAsia="zh-CN"/>
        </w:rPr>
        <w:t>黄河</w:t>
      </w:r>
      <w:r>
        <w:rPr>
          <w:rFonts w:hint="eastAsia" w:ascii="仿宋_GB2312" w:eastAsia="仿宋_GB2312"/>
        </w:rPr>
        <w:t>路</w:t>
      </w:r>
      <w:r>
        <w:rPr>
          <w:rFonts w:hint="eastAsia" w:ascii="仿宋_GB2312" w:eastAsia="仿宋_GB2312"/>
          <w:lang w:val="en-US" w:eastAsia="zh-CN"/>
        </w:rPr>
        <w:t>92</w:t>
      </w:r>
      <w:r>
        <w:rPr>
          <w:rFonts w:hint="eastAsia" w:ascii="仿宋_GB2312" w:eastAsia="仿宋_GB2312"/>
        </w:rPr>
        <w:t>号；邮编：</w:t>
      </w:r>
      <w:r>
        <w:rPr>
          <w:rFonts w:hint="eastAsia" w:ascii="仿宋_GB2312" w:eastAsia="仿宋_GB2312"/>
          <w:lang w:val="en-US" w:eastAsia="zh-CN"/>
        </w:rPr>
        <w:t>256300</w:t>
      </w:r>
      <w:r>
        <w:rPr>
          <w:rFonts w:hint="eastAsia" w:ascii="仿宋_GB2312" w:eastAsia="仿宋_GB2312"/>
        </w:rPr>
        <w:t>；电话：0533-</w:t>
      </w:r>
      <w:r>
        <w:rPr>
          <w:rFonts w:hint="eastAsia" w:ascii="仿宋_GB2312" w:eastAsia="仿宋_GB2312"/>
          <w:lang w:val="en-US" w:eastAsia="zh-CN"/>
        </w:rPr>
        <w:t>6962576</w:t>
      </w:r>
      <w:r>
        <w:rPr>
          <w:rFonts w:hint="eastAsia" w:ascii="仿宋_GB2312" w:eastAsia="仿宋_GB2312"/>
        </w:rPr>
        <w:t>；传真：0533-</w:t>
      </w:r>
      <w:r>
        <w:rPr>
          <w:rFonts w:hint="eastAsia" w:ascii="仿宋_GB2312" w:eastAsia="仿宋_GB2312"/>
          <w:lang w:val="en-US" w:eastAsia="zh-CN"/>
        </w:rPr>
        <w:t>6962576</w:t>
      </w:r>
      <w:r>
        <w:rPr>
          <w:rFonts w:hint="eastAsia" w:ascii="仿宋_GB2312" w:eastAsia="仿宋_GB2312"/>
        </w:rPr>
        <w:t>；邮箱：gqxhbj@zb.shandong.cn）。</w:t>
      </w:r>
    </w:p>
    <w:p w14:paraId="51C988CB">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537E36DD">
      <w:pPr>
        <w:spacing w:line="600" w:lineRule="exact"/>
        <w:ind w:firstLine="640" w:firstLineChars="200"/>
        <w:rPr>
          <w:rFonts w:hint="default" w:ascii="仿宋_GB2312" w:eastAsia="仿宋_GB2312"/>
          <w:szCs w:val="32"/>
          <w:lang w:val="en-US" w:eastAsia="zh-CN"/>
        </w:rPr>
      </w:pPr>
      <w:r>
        <w:rPr>
          <w:rFonts w:ascii="仿宋_GB2312" w:eastAsia="仿宋_GB2312"/>
          <w:szCs w:val="32"/>
        </w:rPr>
        <w:t>202</w:t>
      </w:r>
      <w:r>
        <w:rPr>
          <w:rFonts w:hint="eastAsia" w:ascii="仿宋_GB2312" w:eastAsia="仿宋_GB2312"/>
          <w:szCs w:val="32"/>
          <w:lang w:val="en-US" w:eastAsia="zh-CN"/>
        </w:rPr>
        <w:t>5</w:t>
      </w:r>
      <w:r>
        <w:rPr>
          <w:rFonts w:hint="eastAsia" w:ascii="仿宋_GB2312" w:eastAsia="仿宋_GB2312"/>
          <w:szCs w:val="32"/>
        </w:rPr>
        <w:t>年，</w:t>
      </w:r>
      <w:r>
        <w:rPr>
          <w:rFonts w:hint="eastAsia" w:ascii="仿宋_GB2312" w:eastAsia="仿宋_GB2312"/>
          <w:lang w:val="en-US" w:eastAsia="zh-CN"/>
        </w:rPr>
        <w:t>淄博市生态环境</w:t>
      </w:r>
      <w:r>
        <w:rPr>
          <w:rFonts w:hint="eastAsia" w:ascii="仿宋_GB2312" w:eastAsia="仿宋_GB2312"/>
        </w:rPr>
        <w:t>局</w:t>
      </w:r>
      <w:r>
        <w:rPr>
          <w:rFonts w:hint="eastAsia" w:ascii="仿宋_GB2312" w:eastAsia="仿宋_GB2312"/>
          <w:lang w:val="en-US" w:eastAsia="zh-CN"/>
        </w:rPr>
        <w:t>高青分局</w:t>
      </w:r>
      <w:r>
        <w:rPr>
          <w:rFonts w:hint="eastAsia" w:ascii="仿宋_GB2312" w:eastAsia="仿宋_GB2312"/>
          <w:szCs w:val="32"/>
        </w:rPr>
        <w:t>坚持以习近平新时代中国特色社会主义思想为指导，认真落实国家和省市县政务公开工作</w:t>
      </w:r>
      <w:r>
        <w:rPr>
          <w:rFonts w:hint="eastAsia" w:ascii="仿宋_GB2312" w:eastAsia="仿宋_GB2312"/>
          <w:szCs w:val="32"/>
          <w:lang w:eastAsia="zh-CN"/>
        </w:rPr>
        <w:t>部署</w:t>
      </w:r>
      <w:r>
        <w:rPr>
          <w:rFonts w:hint="eastAsia" w:ascii="仿宋_GB2312" w:eastAsia="仿宋_GB2312"/>
          <w:szCs w:val="32"/>
        </w:rPr>
        <w:t>，强化公开意识、严把信息质量、创新公开形式，持续</w:t>
      </w:r>
      <w:r>
        <w:rPr>
          <w:rFonts w:hint="eastAsia" w:ascii="仿宋_GB2312" w:eastAsia="仿宋_GB2312"/>
          <w:szCs w:val="32"/>
          <w:lang w:eastAsia="zh-CN"/>
        </w:rPr>
        <w:t>提</w:t>
      </w:r>
      <w:r>
        <w:rPr>
          <w:rFonts w:hint="eastAsia" w:ascii="仿宋_GB2312" w:eastAsia="仿宋_GB2312"/>
          <w:szCs w:val="32"/>
        </w:rPr>
        <w:t>升政务公开工作规范化、标准化</w:t>
      </w:r>
      <w:r>
        <w:rPr>
          <w:rFonts w:hint="eastAsia" w:ascii="仿宋_GB2312" w:eastAsia="仿宋_GB2312"/>
          <w:szCs w:val="32"/>
          <w:lang w:eastAsia="zh-CN"/>
        </w:rPr>
        <w:t>、</w:t>
      </w:r>
      <w:r>
        <w:rPr>
          <w:rFonts w:hint="eastAsia" w:ascii="仿宋_GB2312" w:eastAsia="仿宋_GB2312"/>
          <w:szCs w:val="32"/>
          <w:lang w:val="en-US" w:eastAsia="zh-CN"/>
        </w:rPr>
        <w:t>专业化</w:t>
      </w:r>
      <w:r>
        <w:rPr>
          <w:rFonts w:hint="eastAsia" w:ascii="仿宋_GB2312" w:eastAsia="仿宋_GB2312"/>
          <w:szCs w:val="32"/>
        </w:rPr>
        <w:t>水平</w:t>
      </w:r>
      <w:r>
        <w:rPr>
          <w:rFonts w:hint="eastAsia" w:ascii="仿宋_GB2312" w:eastAsia="仿宋_GB2312"/>
          <w:szCs w:val="32"/>
          <w:lang w:val="en-US" w:eastAsia="zh-CN"/>
        </w:rPr>
        <w:t>。</w:t>
      </w:r>
    </w:p>
    <w:p w14:paraId="3F2D7827">
      <w:pPr>
        <w:spacing w:line="600" w:lineRule="exact"/>
        <w:jc w:val="left"/>
        <w:rPr>
          <w:rFonts w:ascii="楷体_GB2312" w:eastAsia="楷体_GB2312"/>
          <w:highlight w:val="none"/>
        </w:rPr>
      </w:pPr>
      <w:r>
        <w:rPr>
          <w:rFonts w:hint="eastAsia" w:ascii="楷体_GB2312" w:eastAsia="楷体_GB2312"/>
          <w:highlight w:val="none"/>
        </w:rPr>
        <w:t>（一）主动公开</w:t>
      </w:r>
    </w:p>
    <w:p w14:paraId="3B2C60BB">
      <w:pPr>
        <w:keepNext w:val="0"/>
        <w:keepLines w:val="0"/>
        <w:pageBreakBefore w:val="0"/>
        <w:widowControl w:val="0"/>
        <w:kinsoku/>
        <w:wordWrap/>
        <w:overflowPunct/>
        <w:topLinePunct w:val="0"/>
        <w:autoSpaceDE w:val="0"/>
        <w:autoSpaceDN w:val="0"/>
        <w:bidi w:val="0"/>
        <w:adjustRightInd/>
        <w:snapToGrid w:val="0"/>
        <w:spacing w:line="600" w:lineRule="exact"/>
        <w:ind w:firstLine="624"/>
        <w:jc w:val="left"/>
        <w:textAlignment w:val="auto"/>
        <w:rPr>
          <w:rFonts w:hint="eastAsia" w:ascii="仿宋_GB2312" w:eastAsia="仿宋_GB2312"/>
          <w:szCs w:val="32"/>
          <w:lang w:val="en-US" w:eastAsia="zh-CN"/>
        </w:rPr>
      </w:pPr>
      <w:r>
        <w:rPr>
          <w:rFonts w:hint="eastAsia" w:ascii="仿宋_GB2312" w:eastAsia="仿宋_GB2312"/>
          <w:szCs w:val="32"/>
          <w:lang w:val="en-US" w:eastAsia="zh-CN"/>
        </w:rPr>
        <w:t>健全政务公开制度体系。定期召开政务公开工作专题部署会，制定《2025年淄博市生态环境局高青分局政务公开工作方案》，建立健全快速响应工作机制，细化制定实施细则和任务清单，推动政务公开各项任务落地见效。精准把握政策内涵，创新政策解读形式，有效打通了政策落地“最后一公里”。2025年以来，累计公开政府信息350余条，信息涉及水、气、固废、许可等多个领域。认真回应群众关切，</w:t>
      </w:r>
      <w:r>
        <w:rPr>
          <w:rFonts w:hint="eastAsia" w:ascii="仿宋_GB2312" w:eastAsia="仿宋_GB2312"/>
          <w:szCs w:val="32"/>
        </w:rPr>
        <w:t>政府信箱群众留言办理答复率</w:t>
      </w:r>
      <w:r>
        <w:rPr>
          <w:rFonts w:hint="eastAsia" w:ascii="仿宋_GB2312" w:eastAsia="仿宋_GB2312"/>
          <w:szCs w:val="32"/>
          <w:lang w:val="en-US" w:eastAsia="zh-CN"/>
        </w:rPr>
        <w:t>达100%</w:t>
      </w:r>
      <w:r>
        <w:rPr>
          <w:rFonts w:hint="eastAsia" w:ascii="仿宋_GB2312" w:eastAsia="仿宋_GB2312"/>
          <w:szCs w:val="32"/>
        </w:rPr>
        <w:t>，12345热线办理数量164</w:t>
      </w:r>
      <w:r>
        <w:rPr>
          <w:rFonts w:hint="eastAsia" w:ascii="仿宋_GB2312" w:eastAsia="仿宋_GB2312"/>
          <w:szCs w:val="32"/>
          <w:lang w:val="en-US" w:eastAsia="zh-CN"/>
        </w:rPr>
        <w:t>件，</w:t>
      </w:r>
      <w:r>
        <w:rPr>
          <w:rFonts w:hint="eastAsia" w:ascii="仿宋_GB2312" w:eastAsia="仿宋_GB2312"/>
          <w:szCs w:val="32"/>
        </w:rPr>
        <w:t>满意率</w:t>
      </w:r>
      <w:r>
        <w:rPr>
          <w:rFonts w:hint="eastAsia" w:ascii="仿宋_GB2312" w:eastAsia="仿宋_GB2312"/>
          <w:szCs w:val="32"/>
          <w:lang w:val="en-US" w:eastAsia="zh-CN"/>
        </w:rPr>
        <w:t>达89.63％</w:t>
      </w:r>
      <w:r>
        <w:rPr>
          <w:rFonts w:hint="eastAsia" w:ascii="仿宋_GB2312" w:eastAsia="仿宋_GB2312"/>
          <w:szCs w:val="32"/>
          <w:lang w:eastAsia="zh-CN"/>
        </w:rPr>
        <w:t>。</w:t>
      </w:r>
      <w:r>
        <w:rPr>
          <w:rFonts w:hint="eastAsia" w:ascii="仿宋_GB2312" w:eastAsia="仿宋_GB2312"/>
          <w:szCs w:val="32"/>
          <w:lang w:val="en-US" w:eastAsia="zh-CN"/>
        </w:rPr>
        <w:t>针对群众提出的意见建议，逐条建立整改台账，细化落实举措，切实以公开促落实、以公开促规范、以公开促服务。</w:t>
      </w:r>
    </w:p>
    <w:p w14:paraId="27C32F1E">
      <w:pPr>
        <w:keepNext w:val="0"/>
        <w:keepLines w:val="0"/>
        <w:pageBreakBefore w:val="0"/>
        <w:widowControl w:val="0"/>
        <w:kinsoku/>
        <w:wordWrap/>
        <w:overflowPunct/>
        <w:topLinePunct w:val="0"/>
        <w:autoSpaceDE w:val="0"/>
        <w:autoSpaceDN w:val="0"/>
        <w:bidi w:val="0"/>
        <w:adjustRightInd/>
        <w:snapToGrid w:val="0"/>
        <w:spacing w:line="240" w:lineRule="auto"/>
        <w:ind w:firstLine="624"/>
        <w:jc w:val="left"/>
        <w:textAlignment w:val="auto"/>
        <w:rPr>
          <w:rFonts w:hint="eastAsia" w:ascii="仿宋_GB2312" w:eastAsia="仿宋_GB2312"/>
          <w:szCs w:val="32"/>
          <w:lang w:val="en-US" w:eastAsia="zh-CN"/>
        </w:rPr>
      </w:pPr>
    </w:p>
    <w:p w14:paraId="6592D3A0">
      <w:pPr>
        <w:keepNext w:val="0"/>
        <w:keepLines w:val="0"/>
        <w:pageBreakBefore w:val="0"/>
        <w:widowControl w:val="0"/>
        <w:kinsoku/>
        <w:wordWrap/>
        <w:overflowPunct/>
        <w:topLinePunct w:val="0"/>
        <w:autoSpaceDE w:val="0"/>
        <w:autoSpaceDN w:val="0"/>
        <w:bidi w:val="0"/>
        <w:adjustRightInd/>
        <w:snapToGrid w:val="0"/>
        <w:spacing w:line="240" w:lineRule="auto"/>
        <w:ind w:firstLine="624"/>
        <w:jc w:val="left"/>
        <w:textAlignment w:val="auto"/>
        <w:rPr>
          <w:rFonts w:hint="eastAsia"/>
          <w:lang w:eastAsia="zh-CN"/>
        </w:rPr>
      </w:pPr>
      <w:r>
        <w:drawing>
          <wp:inline distT="0" distB="0" distL="114300" distR="114300">
            <wp:extent cx="5610225" cy="2578100"/>
            <wp:effectExtent l="4445" t="4445" r="5080" b="825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315A203">
      <w:pPr>
        <w:keepNext w:val="0"/>
        <w:keepLines w:val="0"/>
        <w:pageBreakBefore w:val="0"/>
        <w:widowControl w:val="0"/>
        <w:kinsoku/>
        <w:wordWrap/>
        <w:overflowPunct/>
        <w:topLinePunct w:val="0"/>
        <w:autoSpaceDE w:val="0"/>
        <w:autoSpaceDN w:val="0"/>
        <w:bidi w:val="0"/>
        <w:adjustRightInd/>
        <w:snapToGrid w:val="0"/>
        <w:spacing w:line="240" w:lineRule="auto"/>
        <w:ind w:firstLine="624"/>
        <w:jc w:val="left"/>
        <w:textAlignment w:val="auto"/>
        <w:rPr>
          <w:rFonts w:hint="eastAsia"/>
          <w:lang w:val="en-US" w:eastAsia="zh-CN"/>
        </w:rPr>
      </w:pPr>
    </w:p>
    <w:p w14:paraId="5DAFA7EE">
      <w:pPr>
        <w:spacing w:line="600" w:lineRule="exact"/>
        <w:jc w:val="left"/>
        <w:rPr>
          <w:rFonts w:hint="eastAsia" w:ascii="楷体_GB2312" w:eastAsia="楷体_GB2312"/>
        </w:rPr>
      </w:pPr>
    </w:p>
    <w:p w14:paraId="05AE7AD7">
      <w:pPr>
        <w:spacing w:line="600" w:lineRule="exact"/>
        <w:jc w:val="left"/>
        <w:rPr>
          <w:rFonts w:hint="eastAsia" w:ascii="楷体_GB2312" w:eastAsia="楷体_GB2312"/>
        </w:rPr>
      </w:pPr>
      <w:bookmarkStart w:id="0" w:name="_GoBack"/>
      <w:bookmarkEnd w:id="0"/>
    </w:p>
    <w:p w14:paraId="2ACA1081">
      <w:pPr>
        <w:spacing w:line="600" w:lineRule="exact"/>
        <w:jc w:val="left"/>
        <w:rPr>
          <w:rFonts w:ascii="楷体_GB2312" w:eastAsia="楷体_GB2312"/>
        </w:rPr>
      </w:pPr>
      <w:r>
        <w:rPr>
          <w:rFonts w:hint="eastAsia" w:ascii="楷体_GB2312" w:eastAsia="楷体_GB2312"/>
        </w:rPr>
        <w:t>（二）依申请公开</w:t>
      </w:r>
    </w:p>
    <w:p w14:paraId="37E2382E">
      <w:pPr>
        <w:spacing w:line="600" w:lineRule="exact"/>
        <w:jc w:val="left"/>
        <w:rPr>
          <w:rFonts w:hint="eastAsia" w:ascii="仿宋_GB2312" w:eastAsia="仿宋_GB2312"/>
        </w:rPr>
      </w:pPr>
      <w:r>
        <w:rPr>
          <w:rFonts w:hint="eastAsia" w:ascii="仿宋_GB2312" w:eastAsia="仿宋_GB2312"/>
          <w:lang w:val="en-US" w:eastAsia="zh-CN"/>
        </w:rPr>
        <w:t>优化依申请公开工作办理流程、精简繁琐环节，实行专人全程负责制度，健全跟踪督办与反馈闭环管理，确保群众合理诉求件件有着落、事事有回音。</w:t>
      </w:r>
      <w:r>
        <w:rPr>
          <w:rFonts w:hint="eastAsia" w:ascii="仿宋_GB2312" w:eastAsia="仿宋_GB2312"/>
        </w:rPr>
        <w:t>202</w:t>
      </w:r>
      <w:r>
        <w:rPr>
          <w:rFonts w:hint="eastAsia" w:ascii="仿宋_GB2312" w:eastAsia="仿宋_GB2312"/>
          <w:lang w:val="en-US" w:eastAsia="zh-CN"/>
        </w:rPr>
        <w:t>5</w:t>
      </w:r>
      <w:r>
        <w:rPr>
          <w:rFonts w:hint="eastAsia" w:ascii="仿宋_GB2312" w:eastAsia="仿宋_GB2312"/>
        </w:rPr>
        <w:t>年共收到政府信息公开申请</w:t>
      </w:r>
      <w:r>
        <w:rPr>
          <w:rFonts w:hint="eastAsia" w:ascii="仿宋_GB2312" w:eastAsia="仿宋_GB2312"/>
          <w:lang w:val="en-US" w:eastAsia="zh-CN"/>
        </w:rPr>
        <w:t>6</w:t>
      </w:r>
      <w:r>
        <w:rPr>
          <w:rFonts w:hint="eastAsia" w:ascii="仿宋_GB2312" w:eastAsia="仿宋_GB2312"/>
        </w:rPr>
        <w:t>件，比上年度增加</w:t>
      </w:r>
      <w:r>
        <w:rPr>
          <w:rFonts w:hint="eastAsia" w:ascii="仿宋_GB2312" w:eastAsia="仿宋_GB2312"/>
          <w:lang w:val="en-US" w:eastAsia="zh-CN"/>
        </w:rPr>
        <w:t>6</w:t>
      </w:r>
      <w:r>
        <w:rPr>
          <w:rFonts w:hint="eastAsia" w:ascii="仿宋_GB2312" w:eastAsia="仿宋_GB2312"/>
        </w:rPr>
        <w:t>件，申请</w:t>
      </w:r>
      <w:r>
        <w:rPr>
          <w:rFonts w:hint="eastAsia" w:ascii="仿宋_GB2312" w:eastAsia="仿宋_GB2312"/>
          <w:lang w:eastAsia="zh-CN"/>
        </w:rPr>
        <w:t>内容</w:t>
      </w:r>
      <w:r>
        <w:rPr>
          <w:rFonts w:hint="eastAsia" w:ascii="仿宋_GB2312" w:eastAsia="仿宋_GB2312"/>
        </w:rPr>
        <w:t>主要涉及</w:t>
      </w:r>
      <w:r>
        <w:rPr>
          <w:rFonts w:hint="eastAsia" w:ascii="仿宋_GB2312" w:eastAsia="仿宋_GB2312"/>
          <w:lang w:val="en-US" w:eastAsia="zh-CN"/>
        </w:rPr>
        <w:t>生态环境</w:t>
      </w:r>
      <w:r>
        <w:rPr>
          <w:rFonts w:hint="eastAsia" w:ascii="仿宋_GB2312" w:eastAsia="仿宋_GB2312"/>
        </w:rPr>
        <w:t>领域。作出政府信息公开申请答复</w:t>
      </w:r>
      <w:r>
        <w:rPr>
          <w:rFonts w:hint="eastAsia" w:ascii="仿宋_GB2312" w:eastAsia="仿宋_GB2312"/>
          <w:lang w:val="en-US" w:eastAsia="zh-CN"/>
        </w:rPr>
        <w:t>6</w:t>
      </w:r>
      <w:r>
        <w:rPr>
          <w:rFonts w:hint="eastAsia" w:ascii="仿宋_GB2312" w:eastAsia="仿宋_GB2312"/>
        </w:rPr>
        <w:t>件，其中部分公开</w:t>
      </w:r>
      <w:r>
        <w:rPr>
          <w:rFonts w:hint="eastAsia" w:ascii="仿宋_GB2312" w:eastAsia="仿宋_GB2312"/>
          <w:lang w:val="en-US" w:eastAsia="zh-CN"/>
        </w:rPr>
        <w:t>4</w:t>
      </w:r>
      <w:r>
        <w:rPr>
          <w:rFonts w:hint="eastAsia" w:ascii="仿宋_GB2312" w:eastAsia="仿宋_GB2312"/>
        </w:rPr>
        <w:t>件、无法提供</w:t>
      </w:r>
      <w:r>
        <w:rPr>
          <w:rFonts w:hint="eastAsia" w:ascii="仿宋_GB2312" w:eastAsia="仿宋_GB2312"/>
          <w:lang w:val="en-US" w:eastAsia="zh-CN"/>
        </w:rPr>
        <w:t>2</w:t>
      </w:r>
      <w:r>
        <w:rPr>
          <w:rFonts w:hint="eastAsia" w:ascii="仿宋_GB2312" w:eastAsia="仿宋_GB2312"/>
        </w:rPr>
        <w:t>件。依申请公开政府信息未收取任何费用。未因政府信息公开被申请行政复议、提起行政诉讼。</w:t>
      </w:r>
    </w:p>
    <w:p w14:paraId="0C695295">
      <w:pPr>
        <w:spacing w:line="600" w:lineRule="exact"/>
        <w:jc w:val="left"/>
        <w:rPr>
          <w:rFonts w:ascii="楷体_GB2312" w:eastAsia="楷体_GB2312"/>
        </w:rPr>
      </w:pPr>
      <w:r>
        <w:rPr>
          <w:rFonts w:hint="eastAsia" w:ascii="楷体_GB2312" w:eastAsia="楷体_GB2312"/>
        </w:rPr>
        <w:t>（三）政府信息管理</w:t>
      </w:r>
    </w:p>
    <w:p w14:paraId="171AC042">
      <w:pPr>
        <w:spacing w:line="600" w:lineRule="exact"/>
        <w:jc w:val="left"/>
        <w:rPr>
          <w:rFonts w:hint="eastAsia" w:ascii="仿宋_GB2312" w:eastAsia="仿宋_GB2312"/>
          <w:lang w:val="en-US" w:eastAsia="zh-CN"/>
        </w:rPr>
      </w:pPr>
      <w:r>
        <w:rPr>
          <w:rFonts w:hint="eastAsia" w:ascii="仿宋_GB2312" w:eastAsia="仿宋_GB2312"/>
          <w:lang w:val="en-US" w:eastAsia="zh-CN"/>
        </w:rPr>
        <w:t>保障政府信息管理动态更新。建立“定期排查+即时更新”工作模式，确保已公开信息动态适配工作实际，将公开属性认定嵌入信息生成全流程，从源头把控信息公开的合规性与合理性，建立“横向到边、纵向到底”的保密审查责任体系，明确各环节保密审查职责，形成责任闭环。</w:t>
      </w:r>
    </w:p>
    <w:p w14:paraId="2D3A2BA4">
      <w:pPr>
        <w:spacing w:line="600" w:lineRule="exact"/>
        <w:jc w:val="left"/>
        <w:rPr>
          <w:rFonts w:ascii="楷体_GB2312" w:eastAsia="楷体_GB2312"/>
          <w:highlight w:val="none"/>
        </w:rPr>
      </w:pPr>
      <w:r>
        <w:rPr>
          <w:rFonts w:hint="eastAsia" w:ascii="楷体_GB2312" w:eastAsia="楷体_GB2312"/>
          <w:highlight w:val="none"/>
        </w:rPr>
        <w:t>（四）政府信息公开平台建设</w:t>
      </w:r>
    </w:p>
    <w:p w14:paraId="103B9152">
      <w:pPr>
        <w:keepNext w:val="0"/>
        <w:keepLines w:val="0"/>
        <w:pageBreakBefore w:val="0"/>
        <w:widowControl w:val="0"/>
        <w:kinsoku/>
        <w:wordWrap/>
        <w:overflowPunct/>
        <w:topLinePunct w:val="0"/>
        <w:autoSpaceDE w:val="0"/>
        <w:autoSpaceDN w:val="0"/>
        <w:bidi w:val="0"/>
        <w:adjustRightInd/>
        <w:snapToGrid w:val="0"/>
        <w:spacing w:line="600" w:lineRule="exact"/>
        <w:ind w:firstLine="624"/>
        <w:jc w:val="left"/>
        <w:textAlignment w:val="auto"/>
        <w:rPr>
          <w:rFonts w:hint="eastAsia" w:ascii="仿宋_GB2312" w:eastAsia="仿宋_GB2312"/>
          <w:lang w:eastAsia="zh-CN"/>
        </w:rPr>
      </w:pPr>
      <w:r>
        <w:rPr>
          <w:rFonts w:hint="eastAsia" w:ascii="仿宋_GB2312" w:eastAsia="仿宋_GB2312"/>
        </w:rPr>
        <w:t>推进</w:t>
      </w:r>
      <w:r>
        <w:rPr>
          <w:rFonts w:hint="eastAsia" w:ascii="仿宋_GB2312" w:eastAsia="仿宋_GB2312"/>
          <w:lang w:val="en-US" w:eastAsia="zh-CN"/>
        </w:rPr>
        <w:t>政府信息</w:t>
      </w:r>
      <w:r>
        <w:rPr>
          <w:rFonts w:hint="eastAsia" w:ascii="仿宋_GB2312" w:eastAsia="仿宋_GB2312"/>
        </w:rPr>
        <w:t>公开平台规范化建设</w:t>
      </w:r>
      <w:r>
        <w:rPr>
          <w:rFonts w:hint="eastAsia" w:ascii="仿宋_GB2312" w:eastAsia="仿宋_GB2312"/>
          <w:lang w:eastAsia="zh-CN"/>
        </w:rPr>
        <w:t>。</w:t>
      </w:r>
      <w:r>
        <w:rPr>
          <w:rFonts w:hint="eastAsia" w:ascii="仿宋_GB2312" w:eastAsia="仿宋_GB2312"/>
        </w:rPr>
        <w:t>立足公众需求优化栏目架构，提升平台检索便捷度。常态化抓好政务公开专区运营维护，</w:t>
      </w:r>
      <w:r>
        <w:rPr>
          <w:rFonts w:hint="eastAsia" w:ascii="仿宋_GB2312" w:eastAsia="仿宋_GB2312"/>
          <w:lang w:eastAsia="zh-CN"/>
        </w:rPr>
        <w:t>及时公开</w:t>
      </w:r>
      <w:r>
        <w:rPr>
          <w:rFonts w:hint="eastAsia" w:ascii="仿宋_GB2312" w:eastAsia="仿宋_GB2312"/>
        </w:rPr>
        <w:t>生态环境领域重点工作、政策文件、执法信息等内容</w:t>
      </w:r>
      <w:r>
        <w:rPr>
          <w:rFonts w:hint="eastAsia" w:ascii="仿宋_GB2312" w:eastAsia="仿宋_GB2312"/>
          <w:lang w:eastAsia="zh-CN"/>
        </w:rPr>
        <w:t>，畅通公众互动渠道，确保公开信息可查、可用、可监督。</w:t>
      </w:r>
    </w:p>
    <w:p w14:paraId="25DA4E23">
      <w:pPr>
        <w:spacing w:line="600" w:lineRule="exact"/>
        <w:jc w:val="left"/>
        <w:rPr>
          <w:rFonts w:ascii="楷体_GB2312" w:eastAsia="楷体_GB2312"/>
        </w:rPr>
      </w:pPr>
      <w:r>
        <w:rPr>
          <w:rFonts w:hint="eastAsia" w:ascii="楷体_GB2312" w:eastAsia="楷体_GB2312"/>
        </w:rPr>
        <w:t>（五）监督保障</w:t>
      </w:r>
    </w:p>
    <w:p w14:paraId="6DE01972">
      <w:pPr>
        <w:rPr>
          <w:rFonts w:ascii="黑体" w:hAnsi="黑体" w:eastAsia="黑体"/>
          <w:szCs w:val="32"/>
        </w:rPr>
      </w:pPr>
      <w:r>
        <w:rPr>
          <w:rFonts w:hint="eastAsia" w:ascii="仿宋_GB2312" w:eastAsia="仿宋_GB2312"/>
          <w:lang w:val="en-US" w:eastAsia="zh-CN"/>
        </w:rPr>
        <w:t>压实政务公开工作责任</w:t>
      </w:r>
      <w:r>
        <w:rPr>
          <w:rFonts w:hint="eastAsia" w:ascii="仿宋_GB2312" w:eastAsia="仿宋_GB2312"/>
          <w:lang w:eastAsia="zh-CN"/>
        </w:rPr>
        <w:t>。</w:t>
      </w:r>
      <w:r>
        <w:rPr>
          <w:rFonts w:hint="eastAsia" w:ascii="仿宋_GB2312" w:eastAsia="仿宋_GB2312"/>
          <w:lang w:val="en-US" w:eastAsia="zh-CN"/>
        </w:rPr>
        <w:t>将政务公开工作纳入年度重点工作任务和绩效考核体系，办公室牵头负责工作开展，制定《淄博市生态环境局高青分局2025年政务公开工作培训计划》，组织开展全体人员</w:t>
      </w:r>
      <w:r>
        <w:rPr>
          <w:rFonts w:hint="eastAsia" w:ascii="仿宋_GB2312" w:eastAsia="仿宋_GB2312"/>
          <w:highlight w:val="none"/>
          <w:lang w:val="en-US" w:eastAsia="zh-CN"/>
        </w:rPr>
        <w:t>业务培训2次，科室集中轮训4次，</w:t>
      </w:r>
      <w:r>
        <w:rPr>
          <w:rFonts w:hint="eastAsia" w:ascii="仿宋_GB2312" w:eastAsia="仿宋_GB2312"/>
          <w:highlight w:val="none"/>
        </w:rPr>
        <w:t>做</w:t>
      </w:r>
      <w:r>
        <w:rPr>
          <w:rFonts w:hint="eastAsia" w:ascii="仿宋_GB2312" w:eastAsia="仿宋_GB2312"/>
        </w:rPr>
        <w:t>到政府信息公开工作与中心工作同安排、同布置、同检查、同考核</w:t>
      </w:r>
      <w:r>
        <w:rPr>
          <w:rFonts w:hint="eastAsia" w:ascii="仿宋_GB2312" w:eastAsia="仿宋_GB2312"/>
          <w:lang w:eastAsia="zh-CN"/>
        </w:rPr>
        <w:t>。</w:t>
      </w:r>
      <w:r>
        <w:rPr>
          <w:rFonts w:hint="eastAsia" w:ascii="黑体" w:hAnsi="黑体" w:eastAsia="黑体"/>
          <w:szCs w:val="32"/>
        </w:rPr>
        <w:br w:type="page"/>
      </w:r>
      <w:r>
        <w:rPr>
          <w:rFonts w:hint="eastAsia" w:ascii="黑体" w:hAnsi="黑体"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A04681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238CB7F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974AB6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13279E9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6F7B732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384188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6BA8094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558D3044">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AA36B2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E210816">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5A146B91">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16</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5BF8E3C">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102C8EB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1</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widowControl/>
              <w:autoSpaceDE/>
              <w:autoSpaceDN/>
              <w:snapToGrid/>
              <w:spacing w:line="240" w:lineRule="auto"/>
              <w:ind w:firstLine="0"/>
              <w:jc w:val="both"/>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415412C5">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A86CBF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02E0E8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69E13EBD">
      <w:pPr>
        <w:spacing w:line="240" w:lineRule="auto"/>
        <w:ind w:firstLine="0"/>
        <w:rPr>
          <w:rFonts w:ascii="黑体" w:hAnsi="黑体" w:eastAsia="黑体"/>
          <w:sz w:val="30"/>
          <w:szCs w:val="30"/>
        </w:rPr>
      </w:pPr>
    </w:p>
    <w:p w14:paraId="07887D1E">
      <w:pPr>
        <w:spacing w:line="240" w:lineRule="auto"/>
        <w:ind w:firstLine="0"/>
        <w:rPr>
          <w:rFonts w:ascii="黑体" w:hAnsi="黑体" w:eastAsia="黑体"/>
          <w:sz w:val="30"/>
          <w:szCs w:val="30"/>
        </w:rPr>
      </w:pPr>
    </w:p>
    <w:p w14:paraId="0C648284">
      <w:pPr>
        <w:spacing w:line="240" w:lineRule="auto"/>
        <w:ind w:firstLine="0"/>
        <w:rPr>
          <w:rFonts w:ascii="黑体" w:hAnsi="黑体" w:eastAsia="黑体"/>
          <w:sz w:val="30"/>
          <w:szCs w:val="30"/>
        </w:rPr>
      </w:pPr>
    </w:p>
    <w:p w14:paraId="418DDF09">
      <w:pPr>
        <w:spacing w:line="240" w:lineRule="auto"/>
        <w:ind w:firstLine="0"/>
        <w:jc w:val="center"/>
        <w:rPr>
          <w:rFonts w:ascii="黑体" w:hAnsi="黑体" w:eastAsia="黑体"/>
          <w:sz w:val="30"/>
          <w:szCs w:val="30"/>
        </w:rPr>
      </w:pPr>
    </w:p>
    <w:p w14:paraId="7E2DCEA2">
      <w:pPr>
        <w:spacing w:line="240" w:lineRule="auto"/>
        <w:ind w:firstLine="0"/>
        <w:rPr>
          <w:rFonts w:ascii="黑体" w:hAnsi="黑体" w:eastAsia="黑体"/>
          <w:sz w:val="30"/>
          <w:szCs w:val="30"/>
        </w:rPr>
      </w:pPr>
    </w:p>
    <w:p w14:paraId="16B95E71">
      <w:pPr>
        <w:spacing w:line="240" w:lineRule="auto"/>
        <w:ind w:firstLine="0"/>
        <w:rPr>
          <w:rFonts w:ascii="黑体" w:hAnsi="黑体" w:eastAsia="黑体"/>
          <w:sz w:val="30"/>
          <w:szCs w:val="30"/>
        </w:rPr>
      </w:pPr>
    </w:p>
    <w:p w14:paraId="04C582D5">
      <w:pPr>
        <w:spacing w:line="240" w:lineRule="auto"/>
        <w:ind w:firstLine="0"/>
        <w:rPr>
          <w:rFonts w:ascii="黑体" w:hAnsi="黑体" w:eastAsia="黑体"/>
          <w:sz w:val="30"/>
          <w:szCs w:val="30"/>
        </w:rPr>
      </w:pPr>
    </w:p>
    <w:p w14:paraId="0BB763F2">
      <w:pPr>
        <w:spacing w:line="240" w:lineRule="auto"/>
        <w:ind w:firstLine="0"/>
        <w:rPr>
          <w:rFonts w:ascii="黑体" w:hAnsi="黑体" w:eastAsia="黑体"/>
          <w:sz w:val="30"/>
          <w:szCs w:val="30"/>
        </w:rPr>
      </w:pPr>
    </w:p>
    <w:p w14:paraId="6E7B4F17">
      <w:pPr>
        <w:spacing w:line="240" w:lineRule="auto"/>
        <w:ind w:firstLine="0"/>
        <w:rPr>
          <w:rFonts w:ascii="黑体" w:hAnsi="黑体" w:eastAsia="黑体"/>
          <w:sz w:val="30"/>
          <w:szCs w:val="30"/>
        </w:rPr>
      </w:pPr>
    </w:p>
    <w:p w14:paraId="008D7418">
      <w:pPr>
        <w:spacing w:line="240" w:lineRule="auto"/>
        <w:ind w:firstLine="0"/>
        <w:rPr>
          <w:rFonts w:ascii="黑体" w:hAnsi="黑体" w:eastAsia="黑体"/>
          <w:sz w:val="30"/>
          <w:szCs w:val="30"/>
        </w:rPr>
      </w:pPr>
    </w:p>
    <w:p w14:paraId="15E238B6">
      <w:pPr>
        <w:spacing w:after="156" w:afterLines="50" w:line="240" w:lineRule="auto"/>
        <w:ind w:firstLine="640" w:firstLineChars="200"/>
        <w:rPr>
          <w:rFonts w:ascii="黑体" w:hAnsi="黑体" w:eastAsia="黑体"/>
          <w:szCs w:val="32"/>
          <w:highlight w:val="none"/>
        </w:rPr>
      </w:pPr>
      <w:r>
        <w:rPr>
          <w:rFonts w:hint="eastAsia" w:ascii="黑体" w:hAnsi="黑体" w:eastAsia="黑体"/>
          <w:szCs w:val="32"/>
          <w:highlight w:val="none"/>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3F827B5F">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78CD096">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楷体" w:hAnsi="楷体" w:eastAsia="楷体" w:cs="宋体"/>
                <w:snapToGrid/>
                <w:sz w:val="20"/>
                <w:highlight w:val="none"/>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4DC9CF">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申请人情况</w:t>
            </w:r>
          </w:p>
        </w:tc>
      </w:tr>
      <w:tr w14:paraId="5AC290F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88C0E60">
            <w:pPr>
              <w:widowControl/>
              <w:autoSpaceDE/>
              <w:autoSpaceDN/>
              <w:snapToGrid/>
              <w:spacing w:line="240" w:lineRule="auto"/>
              <w:ind w:firstLine="0"/>
              <w:jc w:val="left"/>
              <w:rPr>
                <w:rFonts w:ascii="宋体" w:hAnsi="宋体" w:eastAsia="宋体" w:cs="宋体"/>
                <w:snapToGrid/>
                <w:sz w:val="24"/>
                <w:szCs w:val="24"/>
                <w:highlight w:val="none"/>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BBC687A">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B64058D">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5C80AEF">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总计</w:t>
            </w:r>
          </w:p>
        </w:tc>
      </w:tr>
      <w:tr w14:paraId="65E7CB3F">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6B4580C1">
            <w:pPr>
              <w:widowControl/>
              <w:autoSpaceDE/>
              <w:autoSpaceDN/>
              <w:snapToGrid/>
              <w:spacing w:line="240" w:lineRule="auto"/>
              <w:ind w:firstLine="0"/>
              <w:jc w:val="left"/>
              <w:rPr>
                <w:rFonts w:ascii="宋体" w:hAnsi="宋体" w:eastAsia="宋体" w:cs="宋体"/>
                <w:snapToGrid/>
                <w:sz w:val="24"/>
                <w:szCs w:val="24"/>
                <w:highlight w:val="none"/>
              </w:rPr>
            </w:pPr>
          </w:p>
        </w:tc>
        <w:tc>
          <w:tcPr>
            <w:tcW w:w="850" w:type="dxa"/>
            <w:vMerge w:val="continue"/>
            <w:tcBorders>
              <w:top w:val="nil"/>
              <w:left w:val="nil"/>
              <w:bottom w:val="single" w:color="auto" w:sz="8" w:space="0"/>
              <w:right w:val="single" w:color="auto" w:sz="8" w:space="0"/>
            </w:tcBorders>
            <w:vAlign w:val="center"/>
          </w:tcPr>
          <w:p w14:paraId="0E06A43C">
            <w:pPr>
              <w:widowControl/>
              <w:autoSpaceDE/>
              <w:autoSpaceDN/>
              <w:snapToGrid/>
              <w:spacing w:line="240" w:lineRule="auto"/>
              <w:ind w:firstLine="0"/>
              <w:jc w:val="left"/>
              <w:rPr>
                <w:rFonts w:ascii="宋体" w:hAnsi="宋体" w:eastAsia="宋体" w:cs="宋体"/>
                <w:snapToGrid/>
                <w:sz w:val="24"/>
                <w:szCs w:val="24"/>
                <w:highlight w:val="none"/>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6CBD9">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商业</w:t>
            </w:r>
          </w:p>
          <w:p w14:paraId="48204815">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0505335">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科研</w:t>
            </w:r>
          </w:p>
          <w:p w14:paraId="58CD58FE">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BEBA40">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92422A0">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A7AC65">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宋体" w:hAnsi="宋体" w:eastAsia="宋体" w:cs="宋体"/>
                <w:snapToGrid/>
                <w:sz w:val="20"/>
                <w:highlight w:val="none"/>
              </w:rPr>
              <w:t>其他</w:t>
            </w:r>
          </w:p>
        </w:tc>
        <w:tc>
          <w:tcPr>
            <w:tcW w:w="756" w:type="dxa"/>
            <w:vMerge w:val="continue"/>
            <w:tcBorders>
              <w:top w:val="single" w:color="auto" w:sz="8" w:space="0"/>
              <w:left w:val="nil"/>
              <w:bottom w:val="inset" w:color="auto" w:sz="8" w:space="0"/>
              <w:right w:val="single" w:color="auto" w:sz="8" w:space="0"/>
            </w:tcBorders>
            <w:vAlign w:val="center"/>
          </w:tcPr>
          <w:p w14:paraId="710402EE">
            <w:pPr>
              <w:widowControl/>
              <w:autoSpaceDE/>
              <w:autoSpaceDN/>
              <w:snapToGrid/>
              <w:spacing w:line="240" w:lineRule="auto"/>
              <w:ind w:firstLine="0"/>
              <w:jc w:val="left"/>
              <w:rPr>
                <w:rFonts w:ascii="宋体" w:hAnsi="宋体" w:eastAsia="宋体" w:cs="宋体"/>
                <w:snapToGrid/>
                <w:sz w:val="24"/>
                <w:szCs w:val="24"/>
                <w:highlight w:val="none"/>
              </w:rPr>
            </w:pPr>
          </w:p>
        </w:tc>
      </w:tr>
      <w:tr w14:paraId="147C9D6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03392C0">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568B8E">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B36BB">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04B7B">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A01EEC">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487D59">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AC0E9">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A0FEE0A">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6</w:t>
            </w:r>
          </w:p>
        </w:tc>
      </w:tr>
      <w:tr w14:paraId="61A81AF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1C95A9E">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DF94464">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D7956">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40273">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6E36E2">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75B730C">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1558A9">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998623D">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r>
      <w:tr w14:paraId="270AC2FE">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428B645B">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1D5650A">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0D0464">
            <w:pPr>
              <w:widowControl/>
              <w:autoSpaceDE/>
              <w:autoSpaceDN/>
              <w:snapToGrid/>
              <w:spacing w:line="240" w:lineRule="auto"/>
              <w:ind w:firstLine="0"/>
              <w:jc w:val="center"/>
              <w:rPr>
                <w:rFonts w:hint="default"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146EBF">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20F5A">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90EB22">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530210">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DF23E3">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0303ED3C">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r>
      <w:tr w14:paraId="45F4B4D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83053D">
            <w:pPr>
              <w:widowControl/>
              <w:autoSpaceDE/>
              <w:autoSpaceDN/>
              <w:snapToGrid/>
              <w:spacing w:line="240" w:lineRule="auto"/>
              <w:ind w:firstLine="0"/>
              <w:jc w:val="left"/>
              <w:rPr>
                <w:rFonts w:ascii="宋体" w:hAnsi="宋体" w:eastAsia="宋体" w:cs="宋体"/>
                <w:snapToGrid/>
                <w:sz w:val="24"/>
                <w:szCs w:val="24"/>
                <w:highlight w:val="none"/>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EA5E5E5">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（二）部分公开</w:t>
            </w:r>
            <w:r>
              <w:rPr>
                <w:rFonts w:hint="eastAsia" w:ascii="楷体" w:hAnsi="楷体" w:eastAsia="楷体" w:cs="宋体"/>
                <w:snapToGrid/>
                <w:sz w:val="20"/>
                <w:highlight w:val="none"/>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BDDE962">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C9FD70">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A8289E">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5E5A20F">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A4952F">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2EFF65">
            <w:pPr>
              <w:widowControl/>
              <w:autoSpaceDE/>
              <w:autoSpaceDN/>
              <w:snapToGrid/>
              <w:spacing w:line="240" w:lineRule="auto"/>
              <w:ind w:firstLine="0"/>
              <w:jc w:val="center"/>
              <w:rPr>
                <w:rFonts w:hint="eastAsia" w:ascii="宋体" w:hAnsi="宋体" w:eastAsia="宋体" w:cs="宋体"/>
                <w:snapToGrid/>
                <w:sz w:val="24"/>
                <w:szCs w:val="24"/>
                <w:highlight w:val="none"/>
                <w:lang w:eastAsia="zh-CN"/>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AD8800">
            <w:pPr>
              <w:widowControl/>
              <w:autoSpaceDE/>
              <w:autoSpaceDN/>
              <w:snapToGrid/>
              <w:spacing w:line="240" w:lineRule="auto"/>
              <w:ind w:firstLine="0"/>
              <w:jc w:val="center"/>
              <w:rPr>
                <w:rFonts w:hint="eastAsia" w:ascii="Calibri" w:hAnsi="Calibri" w:eastAsia="宋体" w:cs="Calibri"/>
                <w:snapToGrid/>
                <w:sz w:val="20"/>
                <w:highlight w:val="none"/>
                <w:lang w:val="en-US" w:eastAsia="zh-CN"/>
              </w:rPr>
            </w:pPr>
            <w:r>
              <w:rPr>
                <w:rFonts w:hint="eastAsia" w:ascii="Calibri" w:hAnsi="Calibri" w:eastAsia="宋体" w:cs="Calibri"/>
                <w:snapToGrid/>
                <w:sz w:val="20"/>
                <w:highlight w:val="none"/>
                <w:lang w:val="en-US" w:eastAsia="zh-CN"/>
              </w:rPr>
              <w:t>4</w:t>
            </w:r>
          </w:p>
        </w:tc>
      </w:tr>
      <w:tr w14:paraId="2FA20BE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100E6C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EC74F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44D7C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9CDAE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6AB7F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BFDCE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C7958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084A0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ADE09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32C6FB9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205C40A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B9416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5DB06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B4E1EC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00EFE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E313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C6E95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7FFD19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68D90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C1A48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86039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5D9990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375C14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7831FD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7E272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F0E0B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ED78E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63E2F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9D194E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EC48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4F278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CB3725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E5EC961">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59C1C56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91BEE1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989EE8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505A2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013E3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6EFF1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122F0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29AD4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B15A1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B87642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0BBFAD3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4EE6E3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9BF50D6">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67A1A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2417AB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0A20B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6960C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4B7DE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69D0CC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F88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247565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E632E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15EBD6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C2D19B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DBCC5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AE1D9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E62CC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7C477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2E88E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BD345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12719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E257C4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08C34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6515AD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D7EF7B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90B44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ACEC0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19FD2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226B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D4FA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2199B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3AA5F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5748FCF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1D0E82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F0BFA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202E15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0448BA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9E9C8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2CB67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56F22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7A75B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6D8D9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09E02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064AA2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2E0EA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B0494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0BD83B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3F8C6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EFBE1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5D908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83086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3B167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B3D2A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C61A2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8ACA0C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4AC996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F15C4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E8B777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D31E67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03256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A58E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0DB8A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44550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82260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2D561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5251A73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1</w:t>
            </w:r>
          </w:p>
        </w:tc>
      </w:tr>
      <w:tr w14:paraId="759E96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75C1ED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2C523D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5DF5D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61307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61A91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13F1A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72F8E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09417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9E3CB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0A3C420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7436D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EA84C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7163A7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C94783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F7CDE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1ED9A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5B873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FA4A6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0C5CDB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F0921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1A985E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E4E72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24348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0EEE56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506D47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13597D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3EF3A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E92C6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CE8DD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BF5F15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4028C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FEE0EF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95BA4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65FC2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CD1B2C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66CAAC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113B4A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8D86B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25AF2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F0D34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A7AEBE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5DB56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945012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73215F2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68498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6CCFD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DD7DCC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58A9E8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B0359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A21B7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ED177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49691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5B822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8AA557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6A9F188A">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5FAF7BA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F558D3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7034EA9D">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C8993B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24D679A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133620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36D973C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67B968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9A54D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75D13C4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2E1F7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59461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37C3819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6F891E1">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AFED3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3173A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CE3BC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8F65B5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A6BA7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88C9A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2663F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5C8FD32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4AD44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162A3C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F0DE6D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A6AB21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6E4E85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88CDD0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B75A5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4F5A09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0823C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8DAAB2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A92D9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C0C75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A5803E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9836AC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39704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29722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EAEF8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5B52A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5C2DC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457EB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E67098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3F0055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3CD644">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F84579C">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7790AB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6</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5BD2B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C88EC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295CB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6C6A4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0DC4F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4C64FF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6</w:t>
            </w:r>
          </w:p>
        </w:tc>
      </w:tr>
      <w:tr w14:paraId="068E353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5CDC67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9DE66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19F1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59A8D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673F2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DCAD1E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03CF3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382BA4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bl>
    <w:p w14:paraId="28EB0FD9">
      <w:pPr>
        <w:spacing w:line="240" w:lineRule="auto"/>
        <w:ind w:firstLine="600" w:firstLineChars="200"/>
        <w:rPr>
          <w:rFonts w:ascii="黑体" w:hAnsi="黑体" w:eastAsia="黑体"/>
          <w:sz w:val="30"/>
          <w:szCs w:val="30"/>
        </w:rPr>
      </w:pPr>
    </w:p>
    <w:p w14:paraId="3686A147">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D3977C">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D68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C4B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61DEF8D">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B1710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20A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40BF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2E2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4D7B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A15C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DC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7CAA04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5072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66CFF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EE1ED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3C49DC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ADB9816">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E877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151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CAA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B342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23D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84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3013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BD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826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6CFD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1D91DF74">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4080CB">
            <w:pPr>
              <w:widowControl/>
              <w:autoSpaceDE/>
              <w:autoSpaceDN/>
              <w:snapToGrid/>
              <w:spacing w:line="240" w:lineRule="auto"/>
              <w:ind w:firstLine="0" w:firstLineChars="0"/>
              <w:jc w:val="center"/>
              <w:rPr>
                <w:rFonts w:hint="eastAsia" w:ascii="Calibri" w:hAnsi="Calibri" w:eastAsia="宋体" w:cs="Calibri"/>
                <w:snapToGrid/>
                <w:sz w:val="20"/>
                <w:lang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60BD4">
            <w:pPr>
              <w:widowControl/>
              <w:autoSpaceDE/>
              <w:autoSpaceDN/>
              <w:snapToGrid/>
              <w:spacing w:line="240" w:lineRule="auto"/>
              <w:ind w:firstLine="0" w:firstLineChars="0"/>
              <w:jc w:val="center"/>
              <w:rPr>
                <w:rFonts w:hint="eastAsia" w:ascii="Calibri" w:hAnsi="Calibri" w:eastAsia="宋体" w:cs="Calibri"/>
                <w:snapToGrid/>
                <w:sz w:val="20"/>
                <w:lang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5B1EE2">
            <w:pPr>
              <w:widowControl/>
              <w:autoSpaceDE/>
              <w:autoSpaceDN/>
              <w:snapToGrid/>
              <w:spacing w:line="240" w:lineRule="auto"/>
              <w:ind w:firstLine="0" w:firstLineChars="0"/>
              <w:jc w:val="center"/>
              <w:rPr>
                <w:rFonts w:hint="eastAsia" w:ascii="Calibri" w:hAnsi="Calibri" w:eastAsia="宋体" w:cs="Calibri"/>
                <w:snapToGrid/>
                <w:sz w:val="20"/>
                <w:lang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8708C3">
            <w:pPr>
              <w:widowControl/>
              <w:autoSpaceDE/>
              <w:autoSpaceDN/>
              <w:snapToGrid/>
              <w:spacing w:line="240" w:lineRule="auto"/>
              <w:ind w:firstLine="0" w:firstLineChars="0"/>
              <w:jc w:val="center"/>
              <w:rPr>
                <w:rFonts w:hint="eastAsia" w:ascii="Calibri" w:hAnsi="Calibri" w:eastAsia="宋体" w:cs="Calibri"/>
                <w:snapToGrid/>
                <w:sz w:val="20"/>
                <w:lang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852AF">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C927AC">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D02251">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F6B77">
            <w:pPr>
              <w:widowControl/>
              <w:autoSpaceDE/>
              <w:autoSpaceDN/>
              <w:snapToGrid/>
              <w:spacing w:line="240" w:lineRule="auto"/>
              <w:ind w:firstLine="0" w:firstLineChars="0"/>
              <w:jc w:val="center"/>
              <w:rPr>
                <w:rFonts w:hint="default"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324AD">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0BA4E">
            <w:pPr>
              <w:widowControl/>
              <w:autoSpaceDE/>
              <w:autoSpaceDN/>
              <w:snapToGrid/>
              <w:spacing w:line="240" w:lineRule="auto"/>
              <w:ind w:firstLine="0" w:firstLineChars="0"/>
              <w:jc w:val="center"/>
              <w:rPr>
                <w:rFonts w:hint="default"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8FE2B7">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EEE727">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DA5303">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C8ED7">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35EB1F">
            <w:pPr>
              <w:widowControl/>
              <w:autoSpaceDE/>
              <w:autoSpaceDN/>
              <w:snapToGrid/>
              <w:spacing w:line="240" w:lineRule="auto"/>
              <w:ind w:firstLine="0" w:firstLineChars="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r>
    </w:tbl>
    <w:p w14:paraId="32F3DBAF">
      <w:pPr>
        <w:spacing w:line="240" w:lineRule="auto"/>
        <w:ind w:firstLine="640" w:firstLineChars="200"/>
        <w:rPr>
          <w:rFonts w:ascii="黑体" w:hAnsi="黑体" w:eastAsia="黑体"/>
          <w:szCs w:val="32"/>
        </w:rPr>
      </w:pPr>
    </w:p>
    <w:p w14:paraId="425A3F48">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112E6B2E">
      <w:pPr>
        <w:spacing w:line="600" w:lineRule="exact"/>
        <w:jc w:val="left"/>
        <w:rPr>
          <w:rFonts w:hint="eastAsia" w:ascii="楷体_GB2312" w:eastAsia="楷体_GB2312"/>
          <w:highlight w:val="none"/>
        </w:rPr>
      </w:pPr>
      <w:r>
        <w:rPr>
          <w:rFonts w:hint="eastAsia" w:ascii="楷体_GB2312" w:eastAsia="楷体_GB2312"/>
          <w:highlight w:val="none"/>
        </w:rPr>
        <w:t>（一）存在问题</w:t>
      </w:r>
    </w:p>
    <w:p w14:paraId="59D5B31D">
      <w:pPr>
        <w:spacing w:line="600" w:lineRule="exact"/>
        <w:jc w:val="left"/>
        <w:rPr>
          <w:rFonts w:hint="eastAsia" w:ascii="仿宋_GB2312" w:eastAsia="仿宋_GB2312"/>
          <w:lang w:val="en-US" w:eastAsia="zh-CN"/>
        </w:rPr>
      </w:pPr>
      <w:r>
        <w:rPr>
          <w:rFonts w:hint="eastAsia" w:ascii="仿宋_GB2312" w:eastAsia="仿宋_GB2312"/>
          <w:lang w:val="en-US" w:eastAsia="zh-CN"/>
        </w:rPr>
        <w:t>一是信息公开的主动性不足。公开内容聚焦于生态环境领域的政策文件、行政审批结果等常规项，对群众关切的重点工作推进细节覆盖不足，未能充分满足公众对环境信息的深层次知晓需求。</w:t>
      </w:r>
    </w:p>
    <w:p w14:paraId="402B72AE">
      <w:pPr>
        <w:spacing w:line="600" w:lineRule="exact"/>
        <w:jc w:val="left"/>
        <w:rPr>
          <w:rFonts w:hint="eastAsia" w:ascii="仿宋_GB2312" w:eastAsia="仿宋_GB2312"/>
          <w:lang w:val="en-US" w:eastAsia="zh-CN"/>
        </w:rPr>
      </w:pPr>
      <w:r>
        <w:rPr>
          <w:rFonts w:hint="eastAsia" w:ascii="仿宋_GB2312" w:eastAsia="仿宋_GB2312"/>
          <w:lang w:val="en-US" w:eastAsia="zh-CN"/>
        </w:rPr>
        <w:t>二是平台建设与管理统筹不足。政府网站栏目个别内容存在交叉，信息分散、维护不力等问题</w:t>
      </w:r>
    </w:p>
    <w:p w14:paraId="1FC573EF">
      <w:pPr>
        <w:spacing w:line="600" w:lineRule="exact"/>
        <w:jc w:val="left"/>
        <w:rPr>
          <w:rFonts w:hint="eastAsia" w:ascii="楷体_GB2312" w:eastAsia="楷体_GB2312"/>
          <w:highlight w:val="none"/>
        </w:rPr>
      </w:pPr>
      <w:r>
        <w:rPr>
          <w:rFonts w:hint="eastAsia" w:ascii="楷体_GB2312" w:eastAsia="楷体_GB2312"/>
          <w:highlight w:val="none"/>
        </w:rPr>
        <w:t>（二）改进情况</w:t>
      </w:r>
    </w:p>
    <w:p w14:paraId="6B3F36D8">
      <w:pPr>
        <w:spacing w:line="600" w:lineRule="exact"/>
        <w:jc w:val="left"/>
        <w:rPr>
          <w:rFonts w:hint="eastAsia" w:ascii="仿宋_GB2312" w:eastAsia="仿宋_GB2312"/>
          <w:lang w:val="en-US" w:eastAsia="zh-CN"/>
        </w:rPr>
      </w:pPr>
      <w:r>
        <w:rPr>
          <w:rFonts w:hint="eastAsia" w:ascii="仿宋_GB2312" w:eastAsia="仿宋_GB2312"/>
          <w:lang w:val="en-US" w:eastAsia="zh-CN"/>
        </w:rPr>
        <w:t>一是明确公开清单。梳理生态环境领域群众高频关切事项，制定重点信息公开目录，将目录纳入公开范围。</w:t>
      </w:r>
    </w:p>
    <w:p w14:paraId="203414F7">
      <w:pPr>
        <w:spacing w:line="600" w:lineRule="exact"/>
        <w:jc w:val="left"/>
        <w:rPr>
          <w:rFonts w:hint="default" w:ascii="仿宋_GB2312" w:eastAsia="仿宋_GB2312"/>
          <w:lang w:val="en-US" w:eastAsia="zh-CN"/>
        </w:rPr>
      </w:pPr>
      <w:r>
        <w:rPr>
          <w:rFonts w:hint="eastAsia" w:ascii="仿宋_GB2312" w:eastAsia="仿宋_GB2312"/>
          <w:lang w:val="en-US" w:eastAsia="zh-CN"/>
        </w:rPr>
        <w:t>二是整合平台资源，优化栏目设置，推进公开内容集约化建设，提升一站式服务能力</w:t>
      </w:r>
    </w:p>
    <w:p w14:paraId="50197022">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1F813B15">
      <w:pPr>
        <w:spacing w:line="600" w:lineRule="exact"/>
        <w:jc w:val="left"/>
        <w:rPr>
          <w:rFonts w:hint="eastAsia" w:ascii="楷体_GB2312" w:eastAsia="楷体_GB2312"/>
          <w:highlight w:val="none"/>
        </w:rPr>
      </w:pPr>
      <w:r>
        <w:rPr>
          <w:rFonts w:hint="eastAsia" w:ascii="楷体_GB2312" w:eastAsia="楷体_GB2312"/>
          <w:highlight w:val="none"/>
        </w:rPr>
        <w:t>（一）政府信息公开信息处理费收取情况</w:t>
      </w:r>
    </w:p>
    <w:p w14:paraId="72E7B288">
      <w:pPr>
        <w:spacing w:line="600" w:lineRule="exact"/>
        <w:jc w:val="left"/>
        <w:rPr>
          <w:rFonts w:hint="eastAsia" w:ascii="仿宋_GB2312" w:eastAsia="仿宋_GB2312"/>
          <w:lang w:val="en-US" w:eastAsia="zh-CN"/>
        </w:rPr>
      </w:pPr>
      <w:r>
        <w:rPr>
          <w:rFonts w:hint="eastAsia" w:ascii="仿宋_GB2312" w:eastAsia="仿宋_GB2312"/>
          <w:lang w:val="en-US" w:eastAsia="zh-CN"/>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083A865A">
      <w:pPr>
        <w:spacing w:line="600" w:lineRule="exact"/>
        <w:jc w:val="left"/>
        <w:rPr>
          <w:rFonts w:hint="eastAsia" w:ascii="楷体_GB2312" w:eastAsia="楷体_GB2312"/>
          <w:highlight w:val="none"/>
        </w:rPr>
      </w:pPr>
      <w:r>
        <w:rPr>
          <w:rFonts w:hint="eastAsia" w:ascii="楷体_GB2312" w:eastAsia="楷体_GB2312"/>
          <w:highlight w:val="none"/>
        </w:rPr>
        <w:t>（二）落实上级年度政务公开工作要点情况</w:t>
      </w:r>
    </w:p>
    <w:p w14:paraId="07919827">
      <w:pPr>
        <w:spacing w:line="600" w:lineRule="exact"/>
        <w:jc w:val="left"/>
        <w:rPr>
          <w:rFonts w:hint="eastAsia" w:ascii="仿宋_GB2312" w:eastAsia="仿宋_GB2312"/>
          <w:lang w:val="en-US" w:eastAsia="zh-CN"/>
        </w:rPr>
      </w:pPr>
      <w:r>
        <w:rPr>
          <w:rFonts w:hint="eastAsia" w:ascii="仿宋_GB2312" w:eastAsia="仿宋_GB2312"/>
          <w:lang w:val="en-US" w:eastAsia="zh-CN"/>
        </w:rPr>
        <w:t>严格落实国家和省市县政务公开工作要点，并根据《高青县人民政府办公室关于印发2025年高青县政务公开工作方案的通知》要求，制定了《淄博市生态环境局高青分局政务公开工作方案》，明确了重点任务、工作标准和完成时限。深化信息公开，按月发布空气质量指数，按季公开饮用水水质等数据，及时公布土壤污染重点监管单位名录，保障公众环境知情权。聚焦监管执法，公开污染防治、环保督察整改及重点排污单位监管信息，专项解读应急预案，公示整改方案与结果，规范行政处罚信息公开。强化政策解读，通过图文、新媒体等方式解读新出台法规政策，提升政策知晓度和执行效果。</w:t>
      </w:r>
    </w:p>
    <w:p w14:paraId="55A4AF16">
      <w:pPr>
        <w:spacing w:line="600" w:lineRule="exact"/>
        <w:jc w:val="left"/>
        <w:rPr>
          <w:rFonts w:hint="eastAsia" w:ascii="楷体_GB2312" w:eastAsia="楷体_GB2312"/>
          <w:highlight w:val="none"/>
          <w:lang w:eastAsia="zh-CN"/>
        </w:rPr>
      </w:pPr>
      <w:r>
        <w:rPr>
          <w:rFonts w:hint="eastAsia" w:ascii="楷体_GB2312" w:eastAsia="楷体_GB2312"/>
          <w:highlight w:val="none"/>
        </w:rPr>
        <w:t>（三）人大代表建议和政协委员提案办理结果公开情况</w:t>
      </w:r>
      <w:r>
        <w:rPr>
          <w:rFonts w:hint="eastAsia" w:ascii="楷体_GB2312" w:eastAsia="楷体_GB2312"/>
          <w:highlight w:val="none"/>
          <w:lang w:eastAsia="zh-CN"/>
        </w:rPr>
        <w:t>。</w:t>
      </w:r>
    </w:p>
    <w:p w14:paraId="2F3D6CE1">
      <w:pPr>
        <w:spacing w:line="600" w:lineRule="exact"/>
        <w:jc w:val="left"/>
        <w:rPr>
          <w:rFonts w:hint="eastAsia" w:ascii="仿宋_GB2312" w:eastAsia="仿宋_GB2312"/>
          <w:lang w:val="en-US" w:eastAsia="zh-CN"/>
        </w:rPr>
      </w:pPr>
      <w:r>
        <w:rPr>
          <w:rFonts w:hint="eastAsia" w:ascii="仿宋_GB2312" w:eastAsia="仿宋_GB2312"/>
          <w:lang w:val="en-US" w:eastAsia="zh-CN"/>
        </w:rPr>
        <w:t>2025年共承办县政协十五届四次会议提案1件，办复率为100%。除涉及国家秘密、工作秘密的，所有建议提案办理复文或摘要以及办理总体情况均在县政府门户网站建议提案办理专题中予以公开。</w:t>
      </w:r>
    </w:p>
    <w:p w14:paraId="4FFB8932">
      <w:pPr>
        <w:spacing w:line="600" w:lineRule="exact"/>
        <w:jc w:val="left"/>
        <w:rPr>
          <w:rFonts w:hint="eastAsia" w:ascii="楷体_GB2312" w:eastAsia="楷体_GB2312"/>
          <w:highlight w:val="none"/>
        </w:rPr>
      </w:pPr>
      <w:r>
        <w:rPr>
          <w:rFonts w:hint="eastAsia" w:ascii="楷体_GB2312" w:eastAsia="楷体_GB2312"/>
          <w:highlight w:val="none"/>
        </w:rPr>
        <w:t>（四）政务公开工作创新情况</w:t>
      </w:r>
    </w:p>
    <w:p w14:paraId="1AA45A42">
      <w:pPr>
        <w:ind w:firstLine="640" w:firstLineChars="200"/>
        <w:jc w:val="left"/>
        <w:rPr>
          <w:rFonts w:hint="eastAsia" w:ascii="仿宋_GB2312" w:hAnsi="黑体" w:eastAsia="仿宋_GB2312"/>
          <w:sz w:val="30"/>
          <w:szCs w:val="30"/>
          <w:lang w:val="en-US" w:eastAsia="zh-CN"/>
        </w:rPr>
      </w:pPr>
      <w:r>
        <w:rPr>
          <w:rFonts w:hint="eastAsia" w:ascii="仿宋_GB2312" w:eastAsia="仿宋_GB2312"/>
          <w:lang w:val="en-US" w:eastAsia="zh-CN"/>
        </w:rPr>
        <w:t>创新开展政务公开工作培训。聚焦政务公开工作提质增效，分层分类设置培训课程，内容涵盖政策规范、科室协同、平台操作等核心业务。采取线上观课与线下实操相结合的方式，强化培训效果转化，切实提升政务公开专业素养和履职能力</w:t>
      </w:r>
      <w:r>
        <w:rPr>
          <w:rFonts w:hint="eastAsia" w:ascii="仿宋_GB2312" w:hAnsi="黑体" w:eastAsia="仿宋_GB2312"/>
          <w:sz w:val="30"/>
          <w:szCs w:val="30"/>
          <w:lang w:val="en-US" w:eastAsia="zh-CN"/>
        </w:rPr>
        <w:t>。</w:t>
      </w:r>
    </w:p>
    <w:p w14:paraId="29C2584A">
      <w:pPr>
        <w:spacing w:line="600" w:lineRule="exact"/>
        <w:jc w:val="left"/>
        <w:rPr>
          <w:rFonts w:hint="eastAsia" w:ascii="楷体_GB2312" w:eastAsia="楷体_GB2312"/>
          <w:highlight w:val="none"/>
        </w:rPr>
      </w:pPr>
      <w:r>
        <w:rPr>
          <w:rFonts w:hint="eastAsia" w:ascii="楷体_GB2312" w:eastAsia="楷体_GB2312"/>
          <w:highlight w:val="none"/>
        </w:rPr>
        <w:t>（五）有关数据统计说明</w:t>
      </w:r>
    </w:p>
    <w:p w14:paraId="2B380A2C">
      <w:pPr>
        <w:spacing w:line="600" w:lineRule="exact"/>
        <w:jc w:val="left"/>
        <w:rPr>
          <w:rFonts w:hint="eastAsia" w:ascii="仿宋_GB2312" w:eastAsia="仿宋_GB2312"/>
          <w:lang w:val="en-US" w:eastAsia="zh-CN"/>
        </w:rPr>
      </w:pPr>
      <w:r>
        <w:rPr>
          <w:rFonts w:hint="eastAsia" w:ascii="仿宋_GB2312" w:eastAsia="仿宋_GB2312"/>
          <w:lang w:val="en-US" w:eastAsia="zh-CN"/>
        </w:rPr>
        <w:t>1.报告中所列数据可能因四舍五入原因与数据直接相加之和存在尾数差异。</w:t>
      </w:r>
    </w:p>
    <w:p w14:paraId="47B69B63">
      <w:pPr>
        <w:spacing w:line="600" w:lineRule="exact"/>
        <w:jc w:val="left"/>
        <w:rPr>
          <w:rFonts w:hint="eastAsia" w:ascii="仿宋_GB2312" w:eastAsia="仿宋_GB2312"/>
          <w:lang w:val="en-US" w:eastAsia="zh-CN"/>
        </w:rPr>
      </w:pPr>
      <w:r>
        <w:rPr>
          <w:rFonts w:hint="eastAsia" w:ascii="仿宋_GB2312" w:eastAsia="仿宋_GB2312"/>
          <w:lang w:val="en-US" w:eastAsia="zh-CN"/>
        </w:rPr>
        <w:t>2.行政许可数量、行政处罚和行政强制数量，包括已公开和依法未公开的全部处理决定。</w:t>
      </w:r>
    </w:p>
    <w:p w14:paraId="2F0EBDC0">
      <w:pPr>
        <w:spacing w:line="600" w:lineRule="exact"/>
        <w:jc w:val="left"/>
        <w:rPr>
          <w:rFonts w:hint="eastAsia" w:ascii="仿宋_GB2312" w:eastAsia="仿宋_GB2312"/>
          <w:lang w:val="en-US" w:eastAsia="zh-CN"/>
        </w:rPr>
      </w:pPr>
      <w:r>
        <w:rPr>
          <w:rFonts w:hint="eastAsia" w:ascii="仿宋_GB2312" w:eastAsia="仿宋_GB2312"/>
          <w:lang w:val="en-US" w:eastAsia="zh-CN"/>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1E620FD"/>
    <w:rsid w:val="0305345B"/>
    <w:rsid w:val="07837045"/>
    <w:rsid w:val="08A96637"/>
    <w:rsid w:val="0BF95B27"/>
    <w:rsid w:val="0C2106D2"/>
    <w:rsid w:val="0C37664F"/>
    <w:rsid w:val="0D705608"/>
    <w:rsid w:val="0E4137B5"/>
    <w:rsid w:val="1059773F"/>
    <w:rsid w:val="14CE38A7"/>
    <w:rsid w:val="17A252C5"/>
    <w:rsid w:val="1CA7512B"/>
    <w:rsid w:val="200F54C2"/>
    <w:rsid w:val="221E7C3E"/>
    <w:rsid w:val="24B92EB3"/>
    <w:rsid w:val="281D62A2"/>
    <w:rsid w:val="2A1B3E58"/>
    <w:rsid w:val="2AA50EFC"/>
    <w:rsid w:val="31CC3212"/>
    <w:rsid w:val="32A001FB"/>
    <w:rsid w:val="33F21039"/>
    <w:rsid w:val="345968B4"/>
    <w:rsid w:val="3467447F"/>
    <w:rsid w:val="35E93C67"/>
    <w:rsid w:val="38CD53B3"/>
    <w:rsid w:val="3FAF5299"/>
    <w:rsid w:val="42333FF9"/>
    <w:rsid w:val="43E97C54"/>
    <w:rsid w:val="46804174"/>
    <w:rsid w:val="47E61973"/>
    <w:rsid w:val="48961A2D"/>
    <w:rsid w:val="492B674E"/>
    <w:rsid w:val="4AB76D59"/>
    <w:rsid w:val="4B335C59"/>
    <w:rsid w:val="4BED236C"/>
    <w:rsid w:val="4BFA22D2"/>
    <w:rsid w:val="4C8D1398"/>
    <w:rsid w:val="4EC1142E"/>
    <w:rsid w:val="4ED67027"/>
    <w:rsid w:val="50D13F4A"/>
    <w:rsid w:val="52120376"/>
    <w:rsid w:val="52505342"/>
    <w:rsid w:val="52AD382B"/>
    <w:rsid w:val="538E7ED0"/>
    <w:rsid w:val="53A8475B"/>
    <w:rsid w:val="55C6025A"/>
    <w:rsid w:val="575C02E5"/>
    <w:rsid w:val="5B3B5816"/>
    <w:rsid w:val="5B820033"/>
    <w:rsid w:val="5CB178E6"/>
    <w:rsid w:val="5D755C5D"/>
    <w:rsid w:val="5DF9063C"/>
    <w:rsid w:val="5E605E0E"/>
    <w:rsid w:val="62750123"/>
    <w:rsid w:val="67FFC172"/>
    <w:rsid w:val="682B1D3A"/>
    <w:rsid w:val="6A9E7D95"/>
    <w:rsid w:val="6B0510F0"/>
    <w:rsid w:val="6E0B0643"/>
    <w:rsid w:val="703F0F89"/>
    <w:rsid w:val="723760F9"/>
    <w:rsid w:val="724A7260"/>
    <w:rsid w:val="72B53C3D"/>
    <w:rsid w:val="751D6EAE"/>
    <w:rsid w:val="753B10E2"/>
    <w:rsid w:val="77D53DBD"/>
    <w:rsid w:val="78A704BE"/>
    <w:rsid w:val="7CC0123F"/>
    <w:rsid w:val="7EAC3427"/>
    <w:rsid w:val="7FB56661"/>
    <w:rsid w:val="7FCFBFAE"/>
    <w:rsid w:val="BF9DE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页眉 Char"/>
    <w:basedOn w:val="9"/>
    <w:link w:val="6"/>
    <w:qFormat/>
    <w:uiPriority w:val="99"/>
    <w:rPr>
      <w:rFonts w:ascii="Times New Roman" w:hAnsi="Times New Roman" w:eastAsia="方正仿宋_GBK" w:cs="Times New Roman"/>
      <w:snapToGrid w:val="0"/>
      <w:kern w:val="0"/>
      <w:sz w:val="18"/>
      <w:szCs w:val="18"/>
    </w:rPr>
  </w:style>
  <w:style w:type="character" w:customStyle="1" w:styleId="12">
    <w:name w:val="页脚 Char"/>
    <w:basedOn w:val="9"/>
    <w:link w:val="5"/>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027;&#21160;&#20844;&#24320;&#20449;&#24687;&#20998;&#24067;&#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a:t>
            </a:r>
            <a:r>
              <a:t>市生态环境局高青分局主动公开信息分布图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[主动公开信息分布图.xlsx]Sheet1!$D$3:$D$8</c:f>
              <c:strCache>
                <c:ptCount val="6"/>
                <c:pt idx="1">
                  <c:v>部门会议</c:v>
                </c:pt>
                <c:pt idx="2">
                  <c:v>重要部署执行</c:v>
                </c:pt>
                <c:pt idx="3">
                  <c:v>建议提案办理</c:v>
                </c:pt>
                <c:pt idx="4">
                  <c:v>行政执法公示</c:v>
                </c:pt>
                <c:pt idx="5">
                  <c:v>生态环境</c:v>
                </c:pt>
              </c:strCache>
            </c:strRef>
          </c:cat>
          <c:val>
            <c:numRef>
              <c:f>[主动公开信息分布图.xlsx]Sheet1!$E$3:$E$8</c:f>
              <c:numCache>
                <c:formatCode>General</c:formatCode>
                <c:ptCount val="6"/>
                <c:pt idx="1">
                  <c:v>4</c:v>
                </c:pt>
                <c:pt idx="2">
                  <c:v>13</c:v>
                </c:pt>
                <c:pt idx="3">
                  <c:v>2</c:v>
                </c:pt>
                <c:pt idx="4">
                  <c:v>30</c:v>
                </c:pt>
                <c:pt idx="5">
                  <c:v>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a6f432-ed88-453f-8e5c-3e4b417565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1514</Words>
  <Characters>1627</Characters>
  <Lines>15</Lines>
  <Paragraphs>4</Paragraphs>
  <TotalTime>109</TotalTime>
  <ScaleCrop>false</ScaleCrop>
  <LinksUpToDate>false</LinksUpToDate>
  <CharactersWithSpaces>1627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Administrator</cp:lastModifiedBy>
  <dcterms:modified xsi:type="dcterms:W3CDTF">2026-01-27T09:05:03Z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eyJoZGlkIjoiMjE2ZWNhMWRmNDQzODExNDgwMDg3NmMxYmQ3ODczOTkiLCJ1c2VySWQiOiIzMjc3MjcxOTQifQ==</vt:lpwstr>
  </property>
  <property fmtid="{D5CDD505-2E9C-101B-9397-08002B2CF9AE}" pid="3" name="KSOProductBuildVer">
    <vt:lpwstr>2052-12.1.0.24657</vt:lpwstr>
  </property>
  <property fmtid="{D5CDD505-2E9C-101B-9397-08002B2CF9AE}" pid="4" name="ICV">
    <vt:lpwstr>E2129A7338CC4E9BAD29AE59E597A3FB_13</vt:lpwstr>
  </property>
</Properties>
</file>