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省厅危险废物规范化管理考核问题</w:t>
      </w:r>
    </w:p>
    <w:p>
      <w:pPr>
        <w:jc w:val="center"/>
        <w:rPr>
          <w:rFonts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整改落实情况</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10月16日省厅对我县德川化工科技有限公司、汉申化工科技有限公司进行了危险废物规范化管理考核，现将检查问题的整改落实情况汇总如下：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一、山东德川化工科技有限公司</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1、整改问题：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(1)废填料、废包装物、盛装有废催化剂的容器、带有石棉保温材料的废旧设备露天存放。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(2)化验室废液、非工艺产生的危废未列入危险废物管理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(3)工艺中产生的废催化剂进行压滤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(4)废包装物存放于基建使用的铁皮棚屋内</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(5)污泥处理车间及暂存点达不到危险废物贮存标准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(6)危险废物产生环节、转运设备标志标识不全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整改</w:t>
      </w:r>
      <w:r>
        <w:rPr>
          <w:rFonts w:hint="eastAsia" w:ascii="仿宋_GB2312" w:hAnsi="仿宋_GB2312" w:eastAsia="仿宋_GB2312" w:cs="仿宋_GB2312"/>
          <w:sz w:val="32"/>
          <w:szCs w:val="32"/>
        </w:rPr>
        <w:t>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a、厂区南侧的填料为喷淋塔内用的新填料，并没有使用，只是暂时存放于南侧，发黄是由于雨水冲刷所带的颜色，现已放在材料库。b、西侧包装物为成品的周转包装袋，现已定点存放于车间。c、盛装废催化剂的容器处于产生转运阶段，不用时存放于暂存库。d、该公司未用石棉作为保温材料，该设备材料为保温棉，现已转至二乙烯苯仓库内部存放。</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整改图片a</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整改图片b</w:t>
      </w:r>
    </w:p>
    <w:p>
      <w:pPr>
        <w:rPr>
          <w:rFonts w:hint="eastAsia"/>
        </w:rPr>
      </w:pPr>
    </w:p>
    <w:p>
      <w:pPr>
        <w:rPr>
          <w:rFonts w:hint="eastAsia"/>
        </w:rPr>
      </w:pPr>
      <w:r>
        <w:drawing>
          <wp:inline distT="0" distB="0" distL="0" distR="0">
            <wp:extent cx="1801495" cy="2085975"/>
            <wp:effectExtent l="0" t="0" r="8255" b="9525"/>
            <wp:docPr id="3" name="图片 3" descr="C:\Users\ADMINI~1\AppData\Local\Temp\WeChat Files\20c099205ed9cb3bcf2d246f4fd8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20c099205ed9cb3bcf2d246f4fd89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05134" cy="2090221"/>
                    </a:xfrm>
                    <a:prstGeom prst="rect">
                      <a:avLst/>
                    </a:prstGeom>
                    <a:noFill/>
                    <a:ln>
                      <a:noFill/>
                    </a:ln>
                  </pic:spPr>
                </pic:pic>
              </a:graphicData>
            </a:graphic>
          </wp:inline>
        </w:drawing>
      </w:r>
      <w:r>
        <w:rPr>
          <w:rFonts w:hint="eastAsia"/>
        </w:rPr>
        <w:t xml:space="preserve">             </w:t>
      </w:r>
      <w:r>
        <w:drawing>
          <wp:inline distT="0" distB="0" distL="0" distR="0">
            <wp:extent cx="1507490" cy="2080895"/>
            <wp:effectExtent l="0" t="0" r="0" b="0"/>
            <wp:docPr id="6" name="图片 6" descr="C:\Users\ADMINI~1\AppData\Local\Temp\WeChat Files\e2c3a789010db80a6a01d1f60f4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e2c3a789010db80a6a01d1f60f409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10337" cy="2084400"/>
                    </a:xfrm>
                    <a:prstGeom prst="rect">
                      <a:avLst/>
                    </a:prstGeom>
                    <a:noFill/>
                    <a:ln>
                      <a:noFill/>
                    </a:ln>
                  </pic:spPr>
                </pic:pic>
              </a:graphicData>
            </a:graphic>
          </wp:inline>
        </w:drawing>
      </w:r>
    </w:p>
    <w:p>
      <w:pPr>
        <w:rPr>
          <w:rFonts w:hint="eastAsia"/>
        </w:rPr>
      </w:pP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整改图片c</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整改图片d</w:t>
      </w:r>
    </w:p>
    <w:p>
      <w:pPr>
        <w:rPr>
          <w:rFonts w:hint="eastAsia"/>
        </w:rPr>
      </w:pPr>
      <w:r>
        <w:drawing>
          <wp:inline distT="0" distB="0" distL="0" distR="0">
            <wp:extent cx="1855470" cy="1990725"/>
            <wp:effectExtent l="0" t="0" r="0" b="0"/>
            <wp:docPr id="5" name="图片 5" descr="C:\Users\ADMINI~1\AppData\Local\Temp\WeChat Files\a8bc9cfbf5bd1152d6e4f04683fc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a8bc9cfbf5bd1152d6e4f04683fc15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60468" cy="1995558"/>
                    </a:xfrm>
                    <a:prstGeom prst="rect">
                      <a:avLst/>
                    </a:prstGeom>
                    <a:noFill/>
                    <a:ln>
                      <a:noFill/>
                    </a:ln>
                  </pic:spPr>
                </pic:pic>
              </a:graphicData>
            </a:graphic>
          </wp:inline>
        </w:drawing>
      </w:r>
      <w:r>
        <w:rPr>
          <w:rFonts w:hint="eastAsia"/>
        </w:rPr>
        <w:t xml:space="preserve">              </w:t>
      </w:r>
      <w:r>
        <w:drawing>
          <wp:inline distT="0" distB="0" distL="0" distR="0">
            <wp:extent cx="1475105" cy="1964690"/>
            <wp:effectExtent l="0" t="0" r="0" b="0"/>
            <wp:docPr id="4" name="图片 4" descr="C:\Users\ADMINI~1\AppData\Local\Temp\WeChat Files\ce96e31dd00cfe7317e6ca05fb94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ce96e31dd00cfe7317e6ca05fb946d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9686" cy="1971200"/>
                    </a:xfrm>
                    <a:prstGeom prst="rect">
                      <a:avLst/>
                    </a:prstGeom>
                    <a:noFill/>
                    <a:ln>
                      <a:noFill/>
                    </a:ln>
                  </pic:spPr>
                </pic:pic>
              </a:graphicData>
            </a:graphic>
          </wp:inline>
        </w:drawing>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（2）化验室废液酸碱滴定部分，已排入污水处理；有机原料经化验后、剩余液体退还回车间，车间正常使用。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（3）按照危废减量化的要求，该公司对废催化剂进行压滤，滤饼作为危废转移，滤液回污水处理系统进行处理。</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整改图片</w:t>
      </w:r>
    </w:p>
    <w:p>
      <w:r>
        <w:drawing>
          <wp:inline distT="0" distB="0" distL="0" distR="0">
            <wp:extent cx="2142490" cy="1944370"/>
            <wp:effectExtent l="0" t="0" r="0" b="0"/>
            <wp:docPr id="8" name="图片 8" descr="C:\Users\ADMINI~1\AppData\Local\Temp\WeChat Files\7b44f97f88771833251bd61b52b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eChat Files\7b44f97f88771833251bd61b52b44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45458" cy="1947311"/>
                    </a:xfrm>
                    <a:prstGeom prst="rect">
                      <a:avLst/>
                    </a:prstGeom>
                    <a:noFill/>
                    <a:ln>
                      <a:noFill/>
                    </a:ln>
                  </pic:spPr>
                </pic:pic>
              </a:graphicData>
            </a:graphic>
          </wp:inline>
        </w:drawing>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（4）铁皮棚屋内的包装物为原料周转桶，大部分归入车间正常使用，少部分不能使用的包装物转移至危废仓库。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整改图片</w:t>
      </w:r>
    </w:p>
    <w:p>
      <w:r>
        <w:drawing>
          <wp:inline distT="0" distB="0" distL="0" distR="0">
            <wp:extent cx="2019300" cy="2087880"/>
            <wp:effectExtent l="0" t="0" r="0" b="7620"/>
            <wp:docPr id="9" name="图片 9" descr="C:\Users\ADMINI~1\AppData\Local\Temp\WeChat Files\cadbb2525e6bcfab94eab096dbbf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WeChat Files\cadbb2525e6bcfab94eab096dbbf4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32140" cy="2100793"/>
                    </a:xfrm>
                    <a:prstGeom prst="rect">
                      <a:avLst/>
                    </a:prstGeom>
                    <a:noFill/>
                    <a:ln>
                      <a:noFill/>
                    </a:ln>
                  </pic:spPr>
                </pic:pic>
              </a:graphicData>
            </a:graphic>
          </wp:inline>
        </w:drawing>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（5）a、污泥处理车间的门已更换为铁质大门；b、污泥暂存点已加上导排沟，应急时入污水池回收处理。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整改图片a</w:t>
      </w:r>
    </w:p>
    <w:p>
      <w:pPr>
        <w:rPr>
          <w:rFonts w:hint="eastAsia"/>
        </w:rPr>
      </w:pPr>
      <w:r>
        <w:drawing>
          <wp:inline distT="0" distB="0" distL="0" distR="0">
            <wp:extent cx="2148205" cy="1610360"/>
            <wp:effectExtent l="0" t="0" r="4445" b="8890"/>
            <wp:docPr id="10" name="图片 10" descr="C:\Users\ADMINI~1\AppData\Local\Temp\WeChat Files\0ff752bf64f2ffdd0169f5527fd29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WeChat Files\0ff752bf64f2ffdd0169f5527fd29d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1701" cy="1612846"/>
                    </a:xfrm>
                    <a:prstGeom prst="rect">
                      <a:avLst/>
                    </a:prstGeom>
                    <a:noFill/>
                    <a:ln>
                      <a:noFill/>
                    </a:ln>
                  </pic:spPr>
                </pic:pic>
              </a:graphicData>
            </a:graphic>
          </wp:inline>
        </w:drawing>
      </w:r>
      <w:r>
        <w:rPr>
          <w:rFonts w:hint="eastAsia"/>
        </w:rPr>
        <w:t xml:space="preserve">  </w:t>
      </w:r>
      <w:r>
        <w:drawing>
          <wp:inline distT="0" distB="0" distL="0" distR="0">
            <wp:extent cx="2128520" cy="1595755"/>
            <wp:effectExtent l="0" t="0" r="5080" b="4445"/>
            <wp:docPr id="11" name="图片 11" descr="C:\Users\ADMINI~1\AppData\Local\Temp\WeChat Files\078c154ecccf2fc80b76e50ba525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WeChat Files\078c154ecccf2fc80b76e50ba525d0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32239" cy="1598258"/>
                    </a:xfrm>
                    <a:prstGeom prst="rect">
                      <a:avLst/>
                    </a:prstGeom>
                    <a:noFill/>
                    <a:ln>
                      <a:noFill/>
                    </a:ln>
                  </pic:spPr>
                </pic:pic>
              </a:graphicData>
            </a:graphic>
          </wp:inline>
        </w:drawing>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整改图片b</w:t>
      </w:r>
    </w:p>
    <w:p>
      <w:r>
        <w:drawing>
          <wp:inline distT="0" distB="0" distL="0" distR="0">
            <wp:extent cx="2204085" cy="880110"/>
            <wp:effectExtent l="0" t="0" r="5715" b="0"/>
            <wp:docPr id="12" name="图片 12" descr="C:\Users\ADMINI~1\AppData\Local\Temp\WeChat Files\8f383e7cd9b76cc49681c62a7f29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WeChat Files\8f383e7cd9b76cc49681c62a7f295d6.jpg"/>
                    <pic:cNvPicPr>
                      <a:picLocks noChangeAspect="1" noChangeArrowheads="1"/>
                    </pic:cNvPicPr>
                  </pic:nvPicPr>
                  <pic:blipFill>
                    <a:blip r:embed="rId12" cstate="print">
                      <a:extLst>
                        <a:ext uri="{28A0092B-C50C-407E-A947-70E740481C1C}">
                          <a14:useLocalDpi xmlns:a14="http://schemas.microsoft.com/office/drawing/2010/main" val="0"/>
                        </a:ext>
                      </a:extLst>
                    </a:blip>
                    <a:srcRect t="4656" b="73100"/>
                    <a:stretch>
                      <a:fillRect/>
                    </a:stretch>
                  </pic:blipFill>
                  <pic:spPr>
                    <a:xfrm>
                      <a:off x="0" y="0"/>
                      <a:ext cx="2204113" cy="880281"/>
                    </a:xfrm>
                    <a:prstGeom prst="rect">
                      <a:avLst/>
                    </a:prstGeom>
                    <a:noFill/>
                    <a:ln>
                      <a:noFill/>
                    </a:ln>
                  </pic:spPr>
                </pic:pic>
              </a:graphicData>
            </a:graphic>
          </wp:inline>
        </w:drawing>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（6）污泥产生环节及转运设备现已贴上危废标识。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整改图片</w:t>
      </w:r>
    </w:p>
    <w:p>
      <w:r>
        <w:drawing>
          <wp:inline distT="0" distB="0" distL="0" distR="0">
            <wp:extent cx="1616710" cy="2157730"/>
            <wp:effectExtent l="0" t="0" r="2540" b="0"/>
            <wp:docPr id="1" name="图片 1" descr="C:\Users\ADMINI~1\AppData\Local\Temp\WeChat Files\5a26c7e8eac37a03fd79785d5fd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5a26c7e8eac37a03fd79785d5fd06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22213" cy="2164834"/>
                    </a:xfrm>
                    <a:prstGeom prst="rect">
                      <a:avLst/>
                    </a:prstGeom>
                    <a:noFill/>
                    <a:ln>
                      <a:noFill/>
                    </a:ln>
                  </pic:spPr>
                </pic:pic>
              </a:graphicData>
            </a:graphic>
          </wp:inline>
        </w:drawing>
      </w:r>
      <w:r>
        <w:rPr>
          <w:rFonts w:hint="eastAsia"/>
        </w:rPr>
        <w:t xml:space="preserve">    </w:t>
      </w:r>
      <w:r>
        <w:rPr>
          <w:rFonts w:ascii="Calibri" w:hAnsi="Calibri" w:eastAsia="宋体" w:cs="Times New Roman"/>
          <w:szCs w:val="22"/>
        </w:rPr>
        <w:drawing>
          <wp:inline distT="0" distB="0" distL="0" distR="0">
            <wp:extent cx="1603375" cy="2137410"/>
            <wp:effectExtent l="0" t="0" r="0" b="0"/>
            <wp:docPr id="13" name="图片 13" descr="C:\Users\ADMINI~1\AppData\Local\Temp\WeChat Files\a9332cd7feed0c1ba2fe641a9cbc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WeChat Files\a9332cd7feed0c1ba2fe641a9cbc3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07456" cy="2142879"/>
                    </a:xfrm>
                    <a:prstGeom prst="rect">
                      <a:avLst/>
                    </a:prstGeom>
                    <a:noFill/>
                    <a:ln>
                      <a:noFill/>
                    </a:ln>
                  </pic:spPr>
                </pic:pic>
              </a:graphicData>
            </a:graphic>
          </wp:inline>
        </w:drawing>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二、山东汉申化工科技有限公司</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1、现场提出的问题：</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被评为固废的循环醇（主要成分为醇、酯、少量低沸物混合物）未建立台账。</w:t>
      </w:r>
    </w:p>
    <w:p>
      <w:pPr>
        <w:numPr>
          <w:ilvl w:val="0"/>
          <w:numId w:val="1"/>
        </w:num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整改</w:t>
      </w:r>
      <w:r>
        <w:rPr>
          <w:rFonts w:hint="eastAsia" w:ascii="仿宋_GB2312" w:hAnsi="仿宋_GB2312" w:eastAsia="仿宋_GB2312" w:cs="仿宋_GB2312"/>
          <w:sz w:val="32"/>
          <w:szCs w:val="32"/>
        </w:rPr>
        <w:t>情况：</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该公司2万吨/年多功能无毒增塑剂项目生产原料为苯酐、C8C10醇。该工艺为保证产品质量，需进行过量醇的酯化反应，而该过量醇在系统循环后质量会下降，从而影响增塑剂产品质量。该企业为有效利用该循环醇，减少污染环节，减少单位产品原料消耗。通过化验分析，采出的循环醇仍含有较高的可用成分。因此该企业为有效利用该循环醇特新上循环醇精制技改装置，该装置使用增塑剂项目采出的循环醇作为原料，循环醇在通过精制提纯后可继续作为增塑剂生产装置的原材料继续使用，同时精制完成后采出少量不能利用轻组分为危险废物（目前尚未产生），产生后按照危险废物规范化管理要求建立危险废物台账，委托有资质单位进行处置。</w:t>
      </w:r>
      <w:r>
        <w:rPr>
          <w:rFonts w:hint="eastAsia" w:ascii="仿宋_GB2312" w:hAnsi="仿宋_GB2312" w:eastAsia="仿宋_GB2312" w:cs="仿宋_GB2312"/>
          <w:sz w:val="32"/>
          <w:szCs w:val="32"/>
          <w:lang w:val="en-US" w:eastAsia="zh-CN"/>
        </w:rPr>
        <w:t>已建立循环醇产生处置台帐。</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2100580" cy="2800985"/>
            <wp:effectExtent l="0" t="0" r="18415" b="13970"/>
            <wp:docPr id="2" name="图片 2" descr="0bbf7a305015f370a9ec2cfafaaa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bbf7a305015f370a9ec2cfafaaa7ba"/>
                    <pic:cNvPicPr>
                      <a:picLocks noChangeAspect="1"/>
                    </pic:cNvPicPr>
                  </pic:nvPicPr>
                  <pic:blipFill>
                    <a:blip r:embed="rId15"/>
                    <a:stretch>
                      <a:fillRect/>
                    </a:stretch>
                  </pic:blipFill>
                  <pic:spPr>
                    <a:xfrm rot="16200000">
                      <a:off x="0" y="0"/>
                      <a:ext cx="2100580" cy="28009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04F41"/>
    <w:multiLevelType w:val="singleLevel"/>
    <w:tmpl w:val="E6B04F4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84"/>
    <w:rsid w:val="005568B7"/>
    <w:rsid w:val="005E3884"/>
    <w:rsid w:val="00603AFB"/>
    <w:rsid w:val="0060650A"/>
    <w:rsid w:val="01D1629F"/>
    <w:rsid w:val="02776403"/>
    <w:rsid w:val="02BA751F"/>
    <w:rsid w:val="03350CF5"/>
    <w:rsid w:val="050375CA"/>
    <w:rsid w:val="077C3AA6"/>
    <w:rsid w:val="07FE7A87"/>
    <w:rsid w:val="0C711BE5"/>
    <w:rsid w:val="111A1B2A"/>
    <w:rsid w:val="165050D2"/>
    <w:rsid w:val="185D011E"/>
    <w:rsid w:val="1A5A6CC5"/>
    <w:rsid w:val="1A7432D3"/>
    <w:rsid w:val="1BF13EF5"/>
    <w:rsid w:val="1E8B5E0C"/>
    <w:rsid w:val="226018B3"/>
    <w:rsid w:val="235E1815"/>
    <w:rsid w:val="23767D16"/>
    <w:rsid w:val="254967C1"/>
    <w:rsid w:val="265C43F2"/>
    <w:rsid w:val="269A35FE"/>
    <w:rsid w:val="269D6E1A"/>
    <w:rsid w:val="27DF2EF3"/>
    <w:rsid w:val="29A06DD0"/>
    <w:rsid w:val="2B5A6459"/>
    <w:rsid w:val="2C3C1BE6"/>
    <w:rsid w:val="2FD36A80"/>
    <w:rsid w:val="310C4341"/>
    <w:rsid w:val="359E50E6"/>
    <w:rsid w:val="36276F9B"/>
    <w:rsid w:val="38FB4273"/>
    <w:rsid w:val="3AE37B33"/>
    <w:rsid w:val="3AE82EEC"/>
    <w:rsid w:val="3CCE3075"/>
    <w:rsid w:val="43363673"/>
    <w:rsid w:val="4A1544A4"/>
    <w:rsid w:val="4C1D63C1"/>
    <w:rsid w:val="4DA83E36"/>
    <w:rsid w:val="5015665E"/>
    <w:rsid w:val="52874492"/>
    <w:rsid w:val="54126E7F"/>
    <w:rsid w:val="55B603AD"/>
    <w:rsid w:val="57650DB6"/>
    <w:rsid w:val="57C211A9"/>
    <w:rsid w:val="57E60AAF"/>
    <w:rsid w:val="594E3EA1"/>
    <w:rsid w:val="5A6E49CB"/>
    <w:rsid w:val="5A83161A"/>
    <w:rsid w:val="5B0D543A"/>
    <w:rsid w:val="5D431459"/>
    <w:rsid w:val="5DF50620"/>
    <w:rsid w:val="61C15C20"/>
    <w:rsid w:val="65772BBC"/>
    <w:rsid w:val="683C70A7"/>
    <w:rsid w:val="69D64181"/>
    <w:rsid w:val="6C7829DA"/>
    <w:rsid w:val="6CEC6DF1"/>
    <w:rsid w:val="6FC107E2"/>
    <w:rsid w:val="709272FE"/>
    <w:rsid w:val="70AB717A"/>
    <w:rsid w:val="71A943E6"/>
    <w:rsid w:val="755E397F"/>
    <w:rsid w:val="75E56676"/>
    <w:rsid w:val="782C6B17"/>
    <w:rsid w:val="7A2805C8"/>
    <w:rsid w:val="7D9F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176</Words>
  <Characters>1007</Characters>
  <Lines>8</Lines>
  <Paragraphs>2</Paragraphs>
  <TotalTime>1</TotalTime>
  <ScaleCrop>false</ScaleCrop>
  <LinksUpToDate>false</LinksUpToDate>
  <CharactersWithSpaces>1181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2020-10-29T02:40:00Z</dcterms:created>
  <dc:creator>Administrator.PC-201912240937</dc:creator>
  <cp:lastModifiedBy>Administrator</cp:lastModifiedBy>
  <dcterms:modified xsi:type="dcterms:W3CDTF">2021-03-29T03:01:12Z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9423F0077DBA406385E5680E0590B6F1</vt:lpwstr>
  </property>
</Properties>
</file>