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pPr>
    </w:p>
    <w:p>
      <w:pPr>
        <w:jc w:val="cente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微软雅黑" w:hAnsi="微软雅黑" w:eastAsia="微软雅黑" w:cs="微软雅黑"/>
          <w:spacing w:val="-19"/>
          <w:sz w:val="40"/>
          <w:szCs w:val="40"/>
        </w:rPr>
      </w:pPr>
      <w:r>
        <w:rPr>
          <w:rFonts w:hint="eastAsia" w:ascii="方正小标宋简体" w:hAnsi="方正小标宋简体" w:eastAsia="方正小标宋简体" w:cs="方正小标宋简体"/>
          <w:snapToGrid/>
          <w:kern w:val="2"/>
          <w:sz w:val="44"/>
          <w:szCs w:val="44"/>
          <w:lang w:val="en-US" w:eastAsia="zh-CN" w:bidi="ar-SA"/>
        </w:rPr>
        <w:t>关于印发《2023年高青县环境监管重点单位名录》的通知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为加强环境监管重点单位生态环境保护监督管理和企业环境信息依法披露，根据《企业环境信息依法披露管理办法》《环境监管重点单位名录管理办法》 (部令第27号)等有关要求，我局组织制定了《2023年高青县环境监管重点单位名录》，现予印发。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s="Times New Roman"/>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附件：2023年高青县环境监管重点单位名录</w:t>
      </w:r>
    </w:p>
    <w:p>
      <w:pPr>
        <w:spacing w:before="101" w:line="332" w:lineRule="auto"/>
        <w:ind w:right="1363"/>
        <w:jc w:val="both"/>
        <w:rPr>
          <w:rFonts w:hint="eastAsia" w:ascii="仿宋" w:hAnsi="仿宋" w:eastAsia="仿宋" w:cs="仿宋"/>
          <w:spacing w:val="8"/>
          <w:sz w:val="31"/>
          <w:szCs w:val="31"/>
        </w:rPr>
      </w:pPr>
    </w:p>
    <w:p>
      <w:pPr>
        <w:spacing w:before="101" w:line="332" w:lineRule="auto"/>
        <w:ind w:right="1363"/>
        <w:jc w:val="both"/>
        <w:rPr>
          <w:rFonts w:hint="eastAsia" w:ascii="仿宋" w:hAnsi="仿宋" w:eastAsia="仿宋" w:cs="仿宋"/>
          <w:spacing w:val="8"/>
          <w:sz w:val="31"/>
          <w:szCs w:val="31"/>
        </w:rPr>
      </w:pPr>
    </w:p>
    <w:p>
      <w:pPr>
        <w:spacing w:before="4" w:line="325" w:lineRule="auto"/>
        <w:ind w:firstLine="4212" w:firstLineChars="1300"/>
        <w:rPr>
          <w:rFonts w:hint="eastAsia" w:ascii="仿宋" w:hAnsi="仿宋" w:eastAsia="仿宋" w:cs="仿宋"/>
          <w:spacing w:val="24"/>
          <w:sz w:val="31"/>
          <w:szCs w:val="31"/>
          <w:lang w:eastAsia="zh-CN"/>
        </w:rPr>
      </w:pPr>
      <w:r>
        <w:rPr>
          <w:rFonts w:hint="eastAsia" w:ascii="仿宋" w:hAnsi="仿宋" w:eastAsia="仿宋" w:cs="仿宋"/>
          <w:spacing w:val="7"/>
          <w:sz w:val="31"/>
          <w:szCs w:val="31"/>
        </w:rPr>
        <w:t>淄博市生态环</w:t>
      </w:r>
      <w:r>
        <w:rPr>
          <w:rFonts w:hint="eastAsia" w:ascii="仿宋" w:hAnsi="仿宋" w:eastAsia="仿宋" w:cs="仿宋"/>
          <w:spacing w:val="7"/>
          <w:sz w:val="31"/>
          <w:szCs w:val="31"/>
          <w:lang w:eastAsia="zh-CN"/>
        </w:rPr>
        <w:t>境</w:t>
      </w:r>
      <w:r>
        <w:rPr>
          <w:rFonts w:hint="eastAsia" w:ascii="仿宋" w:hAnsi="仿宋" w:eastAsia="仿宋" w:cs="仿宋"/>
          <w:spacing w:val="7"/>
          <w:sz w:val="31"/>
          <w:szCs w:val="31"/>
        </w:rPr>
        <w:t>局</w:t>
      </w:r>
      <w:r>
        <w:rPr>
          <w:rFonts w:hint="eastAsia" w:ascii="仿宋" w:hAnsi="仿宋" w:eastAsia="仿宋" w:cs="仿宋"/>
          <w:spacing w:val="7"/>
          <w:sz w:val="31"/>
          <w:szCs w:val="31"/>
          <w:lang w:eastAsia="zh-CN"/>
        </w:rPr>
        <w:t>高青分局</w:t>
      </w:r>
    </w:p>
    <w:p>
      <w:pPr>
        <w:spacing w:before="4" w:line="325" w:lineRule="auto"/>
        <w:ind w:left="27" w:firstLine="5047" w:firstLineChars="1410"/>
        <w:rPr>
          <w:rFonts w:hint="eastAsia" w:ascii="仿宋" w:hAnsi="仿宋" w:eastAsia="仿宋" w:cs="仿宋"/>
          <w:spacing w:val="24"/>
          <w:sz w:val="31"/>
          <w:szCs w:val="31"/>
        </w:rPr>
      </w:pPr>
      <w:r>
        <w:rPr>
          <w:rFonts w:hint="eastAsia" w:ascii="仿宋" w:hAnsi="仿宋" w:eastAsia="仿宋" w:cs="仿宋"/>
          <w:spacing w:val="24"/>
          <w:sz w:val="31"/>
          <w:szCs w:val="31"/>
        </w:rPr>
        <w:t>2023年3月2</w:t>
      </w:r>
      <w:r>
        <w:rPr>
          <w:rFonts w:hint="eastAsia" w:ascii="仿宋" w:hAnsi="仿宋" w:eastAsia="仿宋" w:cs="仿宋"/>
          <w:spacing w:val="24"/>
          <w:sz w:val="31"/>
          <w:szCs w:val="31"/>
          <w:lang w:val="en-US" w:eastAsia="zh-CN"/>
        </w:rPr>
        <w:t>9</w:t>
      </w:r>
      <w:r>
        <w:rPr>
          <w:rFonts w:hint="eastAsia" w:ascii="仿宋" w:hAnsi="仿宋" w:eastAsia="仿宋" w:cs="仿宋"/>
          <w:spacing w:val="24"/>
          <w:sz w:val="31"/>
          <w:szCs w:val="31"/>
        </w:rPr>
        <w:t>日</w:t>
      </w:r>
    </w:p>
    <w:p>
      <w:pPr>
        <w:spacing w:before="185" w:line="181" w:lineRule="auto"/>
        <w:ind w:left="0" w:leftChars="0"/>
        <w:jc w:val="left"/>
        <w:rPr>
          <w:rFonts w:hint="eastAsia" w:ascii="仿宋" w:hAnsi="仿宋" w:eastAsia="仿宋" w:cs="仿宋"/>
          <w:spacing w:val="13"/>
          <w:sz w:val="31"/>
          <w:szCs w:val="31"/>
          <w:lang w:val="en-US" w:eastAsia="zh-CN"/>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p>
    <w:tbl>
      <w:tblPr>
        <w:tblStyle w:val="3"/>
        <w:tblW w:w="89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2"/>
        <w:gridCol w:w="915"/>
        <w:gridCol w:w="3119"/>
        <w:gridCol w:w="1096"/>
        <w:gridCol w:w="930"/>
        <w:gridCol w:w="1110"/>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929"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snapToGrid w:val="0"/>
                <w:color w:val="000000"/>
                <w:kern w:val="0"/>
                <w:sz w:val="32"/>
                <w:szCs w:val="32"/>
                <w:u w:val="none"/>
                <w:lang w:val="en-US" w:eastAsia="zh-CN" w:bidi="ar"/>
              </w:rPr>
              <w:t>2023年高青县环境监管重点单位名录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snapToGrid w:val="0"/>
                <w:color w:val="000000"/>
                <w:kern w:val="0"/>
                <w:sz w:val="28"/>
                <w:szCs w:val="28"/>
                <w:u w:val="none"/>
                <w:lang w:val="en-US" w:eastAsia="zh-CN" w:bidi="ar"/>
              </w:rPr>
              <w:t>序号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snapToGrid w:val="0"/>
                <w:color w:val="000000"/>
                <w:kern w:val="0"/>
                <w:sz w:val="28"/>
                <w:szCs w:val="28"/>
                <w:u w:val="none"/>
                <w:lang w:val="en-US" w:eastAsia="zh-CN" w:bidi="ar"/>
              </w:rPr>
              <w:t>行政区划(县)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snapToGrid w:val="0"/>
                <w:color w:val="000000"/>
                <w:kern w:val="0"/>
                <w:sz w:val="28"/>
                <w:szCs w:val="28"/>
                <w:u w:val="none"/>
                <w:lang w:val="en-US" w:eastAsia="zh-CN" w:bidi="ar"/>
              </w:rPr>
              <w:t>企业名称</w:t>
            </w:r>
          </w:p>
        </w:tc>
        <w:tc>
          <w:tcPr>
            <w:tcW w:w="44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snapToGrid w:val="0"/>
                <w:color w:val="000000"/>
                <w:kern w:val="0"/>
                <w:sz w:val="28"/>
                <w:szCs w:val="28"/>
                <w:u w:val="none"/>
                <w:lang w:val="en-US" w:eastAsia="zh-CN" w:bidi="ar"/>
              </w:rPr>
              <w:t>名录类别</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山东虹桥热电股份有限公司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山东隆华新材料股份有限公司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山东施四方生态肥业有限公司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淄博沃尔肥业有限公司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山东杯之奇轻工制品有限公司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淄博凯华生物质热电有限公司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淄博华仲陶瓷有限公司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淄博联昱印染科技有限公司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淄博蟠龙山热力有限公司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淄博飞源化工有限公司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山东兴鲁承宏新材料科技有限公司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山东开泰石化丙烯酸有限公司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山东诚汇新材料有限公司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山东金洋药业有限公司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淄博匠之城瓷器制造有限公司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淄博联丽热电有限公司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山东立新制药有限公司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淄博齐星化学科技有限公司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淄博凯华新材料有限公司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山东富欣生物科技股份有限公司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山东德川化工科技有限责任公司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山东针巧经编有限公司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淄博倍森皮业有限公司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淄博南岳水务有限公司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淄博绿环水务有限公司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高青如意纺织有限公司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山东恩贝纸业有限公司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山东扳倒井股份有限公司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山东科汇药业有限公司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淄博宏业纺织服装有限公司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山东奥森纸业有限责任公司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山东中福致为新材料有限公司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淄博渤海活塞有限责任公司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山东飞源气体有限公司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山东嘉虹化工有限公司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淄博汇港川化工科技有限公司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淄博澳帆化工有限公司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山东汉申化工科技有限公司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山东飞源新材料有限公司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淄博齐风川润化工有限公司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山东澳帆新材料有限公司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山东齐力环保科技有限公司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淄博文世科铝业有限公司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淄博顺通环保科技有限公司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淄博润丰再生资源有限公司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环境风险</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淄博和易精细化工有限公司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淄博晨鑫化工有限公司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山东飞源合成材料有限公司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淄博华梅化工有限公司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7"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山东美生能源科技有限公司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山东黄河新材料科技有限公司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山东佳华水处理科技有限公司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7"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山东华元新材料有限公司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山东金科力新能源科技有限责任公司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淄博赫达高分子材料有限公司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淄博晶润精细化工有限公司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山东飞源东泰高分子材料有限公司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大气环境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58</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山东星菲化学有限公司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59</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东方飞源（山东）电子材料有限公司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山东齐阳光电科技有限公司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山东博悦和牛农业发展有限公司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高青县</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淄博唯亿固废处置有限公司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240"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土壤</w:t>
            </w:r>
          </w:p>
        </w:tc>
      </w:tr>
    </w:tbl>
    <w:p>
      <w:pPr>
        <w:keepNext w:val="0"/>
        <w:keepLines w:val="0"/>
        <w:pageBreakBefore w:val="0"/>
        <w:widowControl/>
        <w:kinsoku w:val="0"/>
        <w:wordWrap/>
        <w:overflowPunct/>
        <w:topLinePunct w:val="0"/>
        <w:autoSpaceDE w:val="0"/>
        <w:autoSpaceDN w:val="0"/>
        <w:bidi w:val="0"/>
        <w:adjustRightInd w:val="0"/>
        <w:snapToGrid w:val="0"/>
        <w:spacing w:before="240" w:line="360" w:lineRule="auto"/>
        <w:ind w:left="0" w:leftChars="0"/>
        <w:jc w:val="left"/>
        <w:rPr>
          <w:rFonts w:hint="eastAsia" w:ascii="宋体" w:hAnsi="宋体" w:eastAsia="宋体" w:cs="宋体"/>
          <w:spacing w:val="13"/>
          <w:sz w:val="31"/>
          <w:szCs w:val="31"/>
          <w:lang w:val="en-US" w:eastAsia="zh-CN"/>
        </w:rPr>
      </w:pPr>
    </w:p>
    <w:sectPr>
      <w:pgSz w:w="11906" w:h="16838"/>
      <w:pgMar w:top="1440" w:right="1474" w:bottom="1440" w:left="1587" w:header="851" w:footer="992" w:gutter="0"/>
      <w:paperSrc/>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right="73"/>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pacing w:line="187" w:lineRule="auto"/>
                            <w:ind w:right="73"/>
                            <w:jc w:val="right"/>
                            <w:rPr>
                              <w:rFonts w:ascii="宋体" w:hAnsi="宋体" w:eastAsia="宋体" w:cs="宋体"/>
                              <w:spacing w:val="-1"/>
                              <w:sz w:val="28"/>
                              <w:szCs w:val="28"/>
                            </w:rPr>
                          </w:pPr>
                          <w:r>
                            <w:rPr>
                              <w:rFonts w:ascii="宋体" w:hAnsi="宋体" w:eastAsia="宋体" w:cs="宋体"/>
                              <w:spacing w:val="-1"/>
                              <w:sz w:val="28"/>
                              <w:szCs w:val="28"/>
                            </w:rPr>
                            <w:t xml:space="preserve">— </w:t>
                          </w:r>
                          <w:r>
                            <w:rPr>
                              <w:rFonts w:ascii="宋体" w:hAnsi="宋体" w:eastAsia="宋体" w:cs="宋体"/>
                              <w:spacing w:val="-1"/>
                              <w:sz w:val="28"/>
                              <w:szCs w:val="28"/>
                            </w:rPr>
                            <w:fldChar w:fldCharType="begin"/>
                          </w:r>
                          <w:r>
                            <w:rPr>
                              <w:rFonts w:ascii="宋体" w:hAnsi="宋体" w:eastAsia="宋体" w:cs="宋体"/>
                              <w:spacing w:val="-1"/>
                              <w:sz w:val="28"/>
                              <w:szCs w:val="28"/>
                            </w:rPr>
                            <w:instrText xml:space="preserve"> PAGE  \* MERGEFORMAT </w:instrText>
                          </w:r>
                          <w:r>
                            <w:rPr>
                              <w:rFonts w:ascii="宋体" w:hAnsi="宋体" w:eastAsia="宋体" w:cs="宋体"/>
                              <w:spacing w:val="-1"/>
                              <w:sz w:val="28"/>
                              <w:szCs w:val="28"/>
                            </w:rPr>
                            <w:fldChar w:fldCharType="separate"/>
                          </w:r>
                          <w:r>
                            <w:rPr>
                              <w:rFonts w:ascii="宋体" w:hAnsi="宋体" w:eastAsia="宋体" w:cs="宋体"/>
                              <w:spacing w:val="-1"/>
                              <w:sz w:val="28"/>
                              <w:szCs w:val="28"/>
                            </w:rPr>
                            <w:t>1</w:t>
                          </w:r>
                          <w:r>
                            <w:rPr>
                              <w:rFonts w:ascii="宋体" w:hAnsi="宋体" w:eastAsia="宋体" w:cs="宋体"/>
                              <w:spacing w:val="-1"/>
                              <w:sz w:val="28"/>
                              <w:szCs w:val="28"/>
                            </w:rPr>
                            <w:fldChar w:fldCharType="end"/>
                          </w:r>
                          <w:r>
                            <w:rPr>
                              <w:rFonts w:ascii="宋体" w:hAnsi="宋体" w:eastAsia="宋体" w:cs="宋体"/>
                              <w:spacing w:val="-1"/>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spacing w:line="187" w:lineRule="auto"/>
                      <w:ind w:right="73"/>
                      <w:jc w:val="right"/>
                      <w:rPr>
                        <w:rFonts w:ascii="宋体" w:hAnsi="宋体" w:eastAsia="宋体" w:cs="宋体"/>
                        <w:spacing w:val="-1"/>
                        <w:sz w:val="28"/>
                        <w:szCs w:val="28"/>
                      </w:rPr>
                    </w:pPr>
                    <w:r>
                      <w:rPr>
                        <w:rFonts w:ascii="宋体" w:hAnsi="宋体" w:eastAsia="宋体" w:cs="宋体"/>
                        <w:spacing w:val="-1"/>
                        <w:sz w:val="28"/>
                        <w:szCs w:val="28"/>
                      </w:rPr>
                      <w:t xml:space="preserve">— </w:t>
                    </w:r>
                    <w:r>
                      <w:rPr>
                        <w:rFonts w:ascii="宋体" w:hAnsi="宋体" w:eastAsia="宋体" w:cs="宋体"/>
                        <w:spacing w:val="-1"/>
                        <w:sz w:val="28"/>
                        <w:szCs w:val="28"/>
                      </w:rPr>
                      <w:fldChar w:fldCharType="begin"/>
                    </w:r>
                    <w:r>
                      <w:rPr>
                        <w:rFonts w:ascii="宋体" w:hAnsi="宋体" w:eastAsia="宋体" w:cs="宋体"/>
                        <w:spacing w:val="-1"/>
                        <w:sz w:val="28"/>
                        <w:szCs w:val="28"/>
                      </w:rPr>
                      <w:instrText xml:space="preserve"> PAGE  \* MERGEFORMAT </w:instrText>
                    </w:r>
                    <w:r>
                      <w:rPr>
                        <w:rFonts w:ascii="宋体" w:hAnsi="宋体" w:eastAsia="宋体" w:cs="宋体"/>
                        <w:spacing w:val="-1"/>
                        <w:sz w:val="28"/>
                        <w:szCs w:val="28"/>
                      </w:rPr>
                      <w:fldChar w:fldCharType="separate"/>
                    </w:r>
                    <w:r>
                      <w:rPr>
                        <w:rFonts w:ascii="宋体" w:hAnsi="宋体" w:eastAsia="宋体" w:cs="宋体"/>
                        <w:spacing w:val="-1"/>
                        <w:sz w:val="28"/>
                        <w:szCs w:val="28"/>
                      </w:rPr>
                      <w:t>1</w:t>
                    </w:r>
                    <w:r>
                      <w:rPr>
                        <w:rFonts w:ascii="宋体" w:hAnsi="宋体" w:eastAsia="宋体" w:cs="宋体"/>
                        <w:spacing w:val="-1"/>
                        <w:sz w:val="28"/>
                        <w:szCs w:val="28"/>
                      </w:rPr>
                      <w:fldChar w:fldCharType="end"/>
                    </w:r>
                    <w:r>
                      <w:rPr>
                        <w:rFonts w:ascii="宋体" w:hAnsi="宋体" w:eastAsia="宋体" w:cs="宋体"/>
                        <w:spacing w:val="-1"/>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NzdmMjcwMWIxZmJhMDI1ZDU4ZmFmMTk0MmQ1OWUifQ=="/>
  </w:docVars>
  <w:rsids>
    <w:rsidRoot w:val="00000000"/>
    <w:rsid w:val="02011111"/>
    <w:rsid w:val="0D277A9F"/>
    <w:rsid w:val="23982CB9"/>
    <w:rsid w:val="250E023C"/>
    <w:rsid w:val="2BEE2E67"/>
    <w:rsid w:val="2E627104"/>
    <w:rsid w:val="307432A1"/>
    <w:rsid w:val="485625B0"/>
    <w:rsid w:val="5846521D"/>
    <w:rsid w:val="5DBF0709"/>
    <w:rsid w:val="5EE82E86"/>
    <w:rsid w:val="64080C79"/>
    <w:rsid w:val="6EB84F87"/>
    <w:rsid w:val="7B8A0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1495</Words>
  <Characters>1565</Characters>
  <Lines>0</Lines>
  <Paragraphs>0</Paragraphs>
  <TotalTime>68</TotalTime>
  <ScaleCrop>false</ScaleCrop>
  <LinksUpToDate>false</LinksUpToDate>
  <CharactersWithSpaces>1566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2023-03-29T02:12:00Z</dcterms:created>
  <dc:creator>Administrator</dc:creator>
  <cp:lastModifiedBy>不渡</cp:lastModifiedBy>
  <cp:lastPrinted>2023-03-29T09:16:43Z</cp:lastPrinted>
  <dcterms:modified xsi:type="dcterms:W3CDTF">2023-03-29T09:19:15Z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C5F3B72E274745AFAC4278175DFBD458</vt:lpwstr>
  </property>
</Properties>
</file>