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rPr>
          <w:rFonts w:ascii="黑体" w:hAnsi="黑体" w:eastAsia="黑体"/>
        </w:rPr>
      </w:pPr>
    </w:p>
    <w:p>
      <w:pPr>
        <w:adjustRightInd w:val="0"/>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淄博市生态环境局高青分局</w:t>
      </w:r>
    </w:p>
    <w:p>
      <w:pPr>
        <w:adjustRightInd w:val="0"/>
        <w:spacing w:line="56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淄博市生态环境局高青分局办公室联系（地址：山东省淄博市高青县黄河路92号；邮编：256300；电话：0533-6962576；传真：0533-6962576）。</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bookmarkStart w:id="0" w:name="_GoBack"/>
      <w:bookmarkEnd w:id="0"/>
    </w:p>
    <w:p>
      <w:pPr>
        <w:spacing w:line="560" w:lineRule="exact"/>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szCs w:val="32"/>
        </w:rPr>
      </w:pPr>
      <w:r>
        <w:rPr>
          <w:rFonts w:hint="eastAsia" w:ascii="仿宋_GB2312" w:eastAsia="仿宋_GB2312"/>
          <w:szCs w:val="32"/>
        </w:rPr>
        <w:t>贯彻落实政府信息公开法律法规，紧密结合生态环境保护工作实际，着力提高公开信息内容、质量，丰富信息展现方式，积极推进生态环境保护重点领域信息公开，切实保障人民群众的知情权。2021年在县政府网站发布机构职能信息1条；重要部署执行情况，共公开政府工作报告任务执行情况等进展各4条；发布环境干空气质量状况信息12条、水质监测报告信息4条；发布建设项目环境影响评价受理、预审批及审批公示信息61条；公开“双随机</w:t>
      </w:r>
      <w:r>
        <w:rPr>
          <w:rFonts w:hint="eastAsia" w:ascii="仿宋_GB2312" w:eastAsia="仿宋_GB2312"/>
          <w:szCs w:val="32"/>
          <w:lang w:eastAsia="zh-CN"/>
        </w:rPr>
        <w:t>、</w:t>
      </w:r>
      <w:r>
        <w:rPr>
          <w:rFonts w:hint="eastAsia" w:ascii="仿宋_GB2312" w:eastAsia="仿宋_GB2312"/>
          <w:szCs w:val="32"/>
        </w:rPr>
        <w:t>一公开”执法明细4条、行政处罚决定书14条，2021年执法结果及统计年报1条；发布重污染天气预警信息12条。2021年度发布解读材料2条，重点对文件的政策背景、政策依据、出台目的、重要举措进行解读，解读材料与政策文件一并公开。2021年未通过政府信箱收到群众留言。</w:t>
      </w:r>
    </w:p>
    <w:p>
      <w:pPr>
        <w:pStyle w:val="2"/>
        <w:ind w:firstLine="0"/>
      </w:pPr>
      <w:r>
        <w:rPr>
          <w:rFonts w:hint="eastAsia"/>
        </w:rPr>
        <w:drawing>
          <wp:inline distT="0" distB="0" distL="114300" distR="114300">
            <wp:extent cx="5265420" cy="2317750"/>
            <wp:effectExtent l="0" t="0" r="11430" b="6350"/>
            <wp:docPr id="2" name="图片 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6"/>
                    <pic:cNvPicPr>
                      <a:picLocks noChangeAspect="1"/>
                    </pic:cNvPicPr>
                  </pic:nvPicPr>
                  <pic:blipFill>
                    <a:blip r:embed="rId6"/>
                    <a:stretch>
                      <a:fillRect/>
                    </a:stretch>
                  </pic:blipFill>
                  <pic:spPr>
                    <a:xfrm>
                      <a:off x="0" y="0"/>
                      <a:ext cx="5265420" cy="2317750"/>
                    </a:xfrm>
                    <a:prstGeom prst="rect">
                      <a:avLst/>
                    </a:prstGeom>
                  </pic:spPr>
                </pic:pic>
              </a:graphicData>
            </a:graphic>
          </wp:inline>
        </w:drawing>
      </w:r>
    </w:p>
    <w:p>
      <w:pPr>
        <w:spacing w:line="56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pPr>
      <w:r>
        <w:rPr>
          <w:rFonts w:hint="eastAsia" w:ascii="仿宋_GB2312" w:eastAsia="仿宋_GB2312"/>
          <w:szCs w:val="32"/>
        </w:rPr>
        <w:t>2021年，共收到政府信息公开申请2件，与2020年持平。申请内容主要集中在空气质量等领域。办结政府信息公开申请2件，在办结的申请中：予以公开1件，部分公开1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hint="eastAsia" w:ascii="仿宋_GB2312" w:eastAsia="仿宋_GB2312"/>
          <w:szCs w:val="32"/>
        </w:rPr>
        <w:t>定期对政府信息公开工作情况进行检查和督办，严格遵守政府信息公开法律法规，信息公布前严格审查信息内容是否正确、公开事项范围是否准确；实行政府信息动态调整制度，对之前发布的文件、公开的信息进行实时调整，对失效的文件进行清理，确保政府信息发布的规范性、准确性和统一性。</w:t>
      </w:r>
    </w:p>
    <w:p>
      <w:pPr>
        <w:spacing w:line="560" w:lineRule="exact"/>
        <w:jc w:val="left"/>
        <w:rPr>
          <w:rFonts w:ascii="楷体_GB2312" w:eastAsia="楷体_GB2312"/>
        </w:rPr>
      </w:pPr>
      <w:r>
        <w:rPr>
          <w:rFonts w:hint="eastAsia" w:ascii="楷体_GB2312" w:eastAsia="楷体_GB2312"/>
        </w:rPr>
        <w:t>（四）政府信息公开平台建设</w:t>
      </w:r>
    </w:p>
    <w:p>
      <w:pPr>
        <w:spacing w:line="560" w:lineRule="exact"/>
        <w:jc w:val="left"/>
        <w:rPr>
          <w:rFonts w:ascii="仿宋_GB2312" w:eastAsia="仿宋_GB2312"/>
          <w:szCs w:val="32"/>
        </w:rPr>
      </w:pPr>
      <w:r>
        <w:rPr>
          <w:rFonts w:hint="eastAsia" w:ascii="仿宋_GB2312" w:eastAsia="仿宋_GB2312"/>
          <w:szCs w:val="32"/>
        </w:rPr>
        <w:t>及时维护更新政府信息公开目录、政府信息依申请公开、政府信息公开监督信箱等栏目。同时，加大微信公众号等新媒体平台的政务公开力度，2021年度共发布55期公众号，其中工作动态41期，其它宣传类信息14期。</w:t>
      </w:r>
    </w:p>
    <w:p>
      <w:pPr>
        <w:spacing w:line="56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eastAsia="仿宋_GB2312"/>
          <w:szCs w:val="32"/>
        </w:rPr>
      </w:pPr>
      <w:r>
        <w:rPr>
          <w:rFonts w:hint="eastAsia" w:ascii="仿宋_GB2312" w:eastAsia="仿宋_GB2312"/>
          <w:szCs w:val="32"/>
        </w:rPr>
        <w:t>调整了政务公开领导小组，保障信息公开工作开展，由党组书记、局长任组长，并健全完善了工作机制。具体由办公室负责政府信息公开工作，配备1名专职人员。2021年召开政府信息公开工作推进会、培训会各1次。</w:t>
      </w:r>
    </w:p>
    <w:p>
      <w:pPr>
        <w:spacing w:line="240" w:lineRule="auto"/>
        <w:rPr>
          <w:rFonts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hint="eastAsia"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pStyle w:val="2"/>
        <w:rPr>
          <w:rFonts w:ascii="黑体" w:hAnsi="黑体" w:eastAsia="黑体"/>
          <w:szCs w:val="32"/>
        </w:rPr>
      </w:pPr>
    </w:p>
    <w:p>
      <w:pPr>
        <w:spacing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pStyle w:val="2"/>
        <w:rPr>
          <w:rFonts w:ascii="黑体" w:hAnsi="黑体" w:eastAsia="黑体"/>
          <w:sz w:val="30"/>
          <w:szCs w:val="30"/>
        </w:rPr>
      </w:pPr>
    </w:p>
    <w:p>
      <w:pPr>
        <w:spacing w:line="240" w:lineRule="auto"/>
        <w:ind w:firstLine="0"/>
        <w:rPr>
          <w:rFonts w:ascii="黑体" w:hAnsi="黑体" w:eastAsia="黑体"/>
          <w:szCs w:val="32"/>
        </w:rPr>
      </w:pPr>
    </w:p>
    <w:p>
      <w:pPr>
        <w:spacing w:line="240" w:lineRule="auto"/>
        <w:ind w:firstLine="640" w:firstLineChars="200"/>
        <w:rPr>
          <w:rFonts w:ascii="黑体" w:hAnsi="黑体" w:eastAsia="黑体"/>
          <w:szCs w:val="32"/>
        </w:rPr>
      </w:pPr>
    </w:p>
    <w:p>
      <w:pPr>
        <w:spacing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trHeight w:val="444" w:hRule="atLeast"/>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trHeight w:val="42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0"/>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0"/>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0"/>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lang w:val="e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300" w:firstLineChars="150"/>
              <w:jc w:val="left"/>
              <w:rPr>
                <w:rFonts w:ascii="宋体" w:hAnsi="宋体" w:eastAsia="宋体" w:cs="宋体"/>
                <w:snapToGrid/>
                <w:sz w:val="24"/>
                <w:szCs w:val="24"/>
              </w:rPr>
            </w:pPr>
            <w:r>
              <w:rPr>
                <w:rFonts w:ascii="Calibri" w:hAnsi="Calibri" w:eastAsia="宋体" w:cs="Calibri"/>
                <w:snapToGrid/>
                <w:sz w:val="20"/>
                <w:lang w:val="en"/>
              </w:rPr>
              <w:t>0</w:t>
            </w:r>
          </w:p>
        </w:tc>
      </w:tr>
    </w:tbl>
    <w:p>
      <w:pPr>
        <w:spacing w:line="240" w:lineRule="auto"/>
        <w:ind w:firstLine="600" w:firstLineChars="200"/>
        <w:rPr>
          <w:rFonts w:ascii="黑体" w:hAnsi="黑体" w:eastAsia="黑体"/>
          <w:sz w:val="30"/>
          <w:szCs w:val="30"/>
        </w:rPr>
      </w:pPr>
    </w:p>
    <w:p>
      <w:pPr>
        <w:pStyle w:val="2"/>
      </w:pPr>
    </w:p>
    <w:p>
      <w:pPr>
        <w:pStyle w:val="2"/>
      </w:pPr>
    </w:p>
    <w:p>
      <w:pPr>
        <w:spacing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2021年，</w:t>
      </w:r>
      <w:r>
        <w:rPr>
          <w:rFonts w:hint="eastAsia" w:ascii="仿宋_GB2312" w:hAnsi="仿宋_GB2312" w:eastAsia="仿宋_GB2312" w:cs="仿宋_GB2312"/>
          <w:color w:val="000000"/>
          <w:szCs w:val="32"/>
          <w:shd w:val="clear" w:color="auto" w:fill="FFFFFF"/>
        </w:rPr>
        <w:t>政府信息公开工作还存在着一些不足，主要表现</w:t>
      </w:r>
      <w:r>
        <w:rPr>
          <w:rFonts w:hint="eastAsia" w:ascii="仿宋_GB2312" w:eastAsia="仿宋_GB2312"/>
          <w:szCs w:val="32"/>
        </w:rPr>
        <w:t>为：公开内容不全面，主要表现为更新不及时、主动公开基本目录编制不完善、政务公开内容信息要素缺失。</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spacing w:line="560" w:lineRule="exact"/>
        <w:ind w:firstLine="640" w:firstLineChars="200"/>
        <w:rPr>
          <w:rFonts w:ascii="仿宋_GB2312" w:eastAsia="仿宋_GB2312"/>
          <w:szCs w:val="32"/>
        </w:rPr>
      </w:pPr>
      <w:r>
        <w:rPr>
          <w:rFonts w:hint="eastAsia" w:ascii="仿宋_GB2312" w:eastAsia="仿宋_GB2312"/>
          <w:szCs w:val="32"/>
        </w:rPr>
        <w:t>2022年将重点抓好以下几方面工作：一是加强自身建设，提高工作水平。设置专人负责，参加政务公开培训会议，学习优秀政务公开单位的丰富经验。二是加大政务公开工作督查力度，将认真组织各科室开展政务公开考核工作，通过督查考核进一步落实政务公开工作，同时按照上级政府部门提示的整改意见，对自身公开网站存在问题及时整改。</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（一）收取信息处理费情况</w:t>
      </w:r>
    </w:p>
    <w:p>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仿宋_GB2312" w:eastAsia="仿宋_GB2312"/>
          <w:szCs w:val="32"/>
        </w:rPr>
      </w:pPr>
      <w:r>
        <w:rPr>
          <w:rFonts w:hint="eastAsia" w:ascii="仿宋_GB2312" w:eastAsia="仿宋_GB2312"/>
          <w:szCs w:val="32"/>
        </w:rPr>
        <w:t>制定了《淄博市生态环境局高青分局2021年政务公开工作实施方案》，并根据要点要求，重点做好生态环境保护领域信息公开工作，按照“公开为常态、不公开为例外”的原则，对群众关心的热点信息确保在县政府网站做到应公开尽公开。畅通渠道，加强沟通，办理的12345热线交办单，全部按时答复，无行政复议、诉讼和群众投诉等问题。</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spacing w:line="560" w:lineRule="exact"/>
        <w:ind w:firstLine="640" w:firstLineChars="200"/>
        <w:rPr>
          <w:rFonts w:ascii="仿宋_GB2312" w:eastAsia="仿宋_GB2312"/>
          <w:szCs w:val="32"/>
        </w:rPr>
      </w:pPr>
      <w:r>
        <w:rPr>
          <w:rFonts w:hint="eastAsia" w:ascii="仿宋_GB2312" w:eastAsia="仿宋_GB2312"/>
          <w:szCs w:val="32"/>
        </w:rPr>
        <w:t>2021年共承办县十七届人大五次会议建议1件，承办县政协十四届五次会议提案1件，办复率均为100%。2件建议提案均在县政府网站建议提案专题集中公开建议提案人、建议提案原文、建议提案办理结果等信息。</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rPr>
          <w:rFonts w:ascii="仿宋_GB2312" w:eastAsia="仿宋_GB2312" w:cstheme="minorBidi"/>
          <w:kern w:val="2"/>
          <w:szCs w:val="32"/>
        </w:rPr>
      </w:pPr>
      <w:r>
        <w:rPr>
          <w:rFonts w:hint="eastAsia" w:ascii="仿宋_GB2312" w:eastAsia="仿宋_GB2312"/>
          <w:szCs w:val="32"/>
        </w:rPr>
        <w:t>创新形式，拓展平台。按照新时期政务公开工作要</w:t>
      </w:r>
      <w:r>
        <w:rPr>
          <w:rFonts w:hint="eastAsia" w:ascii="仿宋_GB2312" w:eastAsia="仿宋_GB2312" w:cstheme="minorBidi"/>
          <w:kern w:val="2"/>
          <w:szCs w:val="32"/>
        </w:rPr>
        <w:t>求，不断创新信息公开形式，依托新媒体公众号和微博，利用图片、图表、视频等丰富形式，加快加深群众对公开内容的理解。</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（六）公共企事业单位信息公开工作开展情况</w:t>
      </w:r>
    </w:p>
    <w:p>
      <w:pPr>
        <w:spacing w:line="560" w:lineRule="exact"/>
        <w:ind w:firstLine="640" w:firstLineChars="200"/>
        <w:rPr>
          <w:rFonts w:ascii="仿宋_GB2312" w:eastAsia="仿宋_GB2312"/>
          <w:szCs w:val="32"/>
        </w:rPr>
      </w:pPr>
      <w:r>
        <w:rPr>
          <w:rFonts w:hint="eastAsia" w:ascii="仿宋_GB2312" w:eastAsia="仿宋_GB2312"/>
          <w:szCs w:val="32"/>
        </w:rPr>
        <w:t>按照要求在县政府网站“公共企事业单位信息公开”栏目及时更新发布生态环境监测站信息，包括基本情况、机构职能、服务指南、服务热线等。</w:t>
      </w:r>
    </w:p>
    <w:p>
      <w:pPr>
        <w:spacing w:line="560" w:lineRule="exact"/>
        <w:ind w:firstLine="640" w:firstLineChars="200"/>
        <w:rPr>
          <w:rFonts w:ascii="仿宋_GB2312" w:eastAsia="仿宋_GB231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A0NDljNmFiMzFkY2ZjZmQ4N2MzMDQyM2Q3NzlkMzMifQ=="/>
  </w:docVars>
  <w:rsids>
    <w:rsidRoot w:val="002E3543"/>
    <w:rsid w:val="00024945"/>
    <w:rsid w:val="00117733"/>
    <w:rsid w:val="00121DCF"/>
    <w:rsid w:val="001E1277"/>
    <w:rsid w:val="00211942"/>
    <w:rsid w:val="00236278"/>
    <w:rsid w:val="002E10A1"/>
    <w:rsid w:val="002E3543"/>
    <w:rsid w:val="003B569E"/>
    <w:rsid w:val="00415AB1"/>
    <w:rsid w:val="00572404"/>
    <w:rsid w:val="00591E5D"/>
    <w:rsid w:val="00673AC7"/>
    <w:rsid w:val="006C3257"/>
    <w:rsid w:val="00704FCD"/>
    <w:rsid w:val="008205A6"/>
    <w:rsid w:val="008B0A3E"/>
    <w:rsid w:val="008C4ED2"/>
    <w:rsid w:val="008E71D8"/>
    <w:rsid w:val="009B028C"/>
    <w:rsid w:val="00A11B49"/>
    <w:rsid w:val="00AD1D69"/>
    <w:rsid w:val="00B12211"/>
    <w:rsid w:val="00C51F22"/>
    <w:rsid w:val="00C67940"/>
    <w:rsid w:val="00C85F7B"/>
    <w:rsid w:val="00CC2BE7"/>
    <w:rsid w:val="00CD1D00"/>
    <w:rsid w:val="00D70F24"/>
    <w:rsid w:val="00D91D48"/>
    <w:rsid w:val="00DE5DE0"/>
    <w:rsid w:val="00EA0721"/>
    <w:rsid w:val="00EF5607"/>
    <w:rsid w:val="00F07B68"/>
    <w:rsid w:val="00F44707"/>
    <w:rsid w:val="00FA216A"/>
    <w:rsid w:val="00FD2AFD"/>
    <w:rsid w:val="00FD5381"/>
    <w:rsid w:val="049D0E51"/>
    <w:rsid w:val="0CB22F6E"/>
    <w:rsid w:val="0F884FA8"/>
    <w:rsid w:val="1AED2809"/>
    <w:rsid w:val="1B6529C2"/>
    <w:rsid w:val="1C733475"/>
    <w:rsid w:val="1CF9C775"/>
    <w:rsid w:val="1E870C82"/>
    <w:rsid w:val="1F456716"/>
    <w:rsid w:val="1FBFFD7D"/>
    <w:rsid w:val="1FFADE54"/>
    <w:rsid w:val="239A50A8"/>
    <w:rsid w:val="23C6058D"/>
    <w:rsid w:val="2B7FA7D7"/>
    <w:rsid w:val="2BFFD26B"/>
    <w:rsid w:val="2E1E789B"/>
    <w:rsid w:val="30F832B6"/>
    <w:rsid w:val="31F7F254"/>
    <w:rsid w:val="32E2255D"/>
    <w:rsid w:val="39FF65E7"/>
    <w:rsid w:val="3BFDCDF1"/>
    <w:rsid w:val="3CDBE836"/>
    <w:rsid w:val="3EAA3B36"/>
    <w:rsid w:val="3FD7AF32"/>
    <w:rsid w:val="41334A8B"/>
    <w:rsid w:val="43C5119E"/>
    <w:rsid w:val="4A77E743"/>
    <w:rsid w:val="4C7318FC"/>
    <w:rsid w:val="4C9B173C"/>
    <w:rsid w:val="4DA72ACD"/>
    <w:rsid w:val="4F8E3701"/>
    <w:rsid w:val="4FDF7106"/>
    <w:rsid w:val="5025293B"/>
    <w:rsid w:val="576604EA"/>
    <w:rsid w:val="59BB60BE"/>
    <w:rsid w:val="5B7F53BE"/>
    <w:rsid w:val="5B7FFCFD"/>
    <w:rsid w:val="5CA725DA"/>
    <w:rsid w:val="5D1B7B11"/>
    <w:rsid w:val="5DFFCEEB"/>
    <w:rsid w:val="60BF2ECE"/>
    <w:rsid w:val="62853338"/>
    <w:rsid w:val="64536AB5"/>
    <w:rsid w:val="64F97C9C"/>
    <w:rsid w:val="65E92297"/>
    <w:rsid w:val="67B43053"/>
    <w:rsid w:val="6FFFAB43"/>
    <w:rsid w:val="71FE37D3"/>
    <w:rsid w:val="72B6EBB4"/>
    <w:rsid w:val="73778CF4"/>
    <w:rsid w:val="74FF365B"/>
    <w:rsid w:val="77F3C589"/>
    <w:rsid w:val="783FF422"/>
    <w:rsid w:val="79B5C333"/>
    <w:rsid w:val="79C59EDD"/>
    <w:rsid w:val="79FEB74A"/>
    <w:rsid w:val="7ADF0F25"/>
    <w:rsid w:val="7AFD7DAC"/>
    <w:rsid w:val="7AFF895C"/>
    <w:rsid w:val="7B010DC1"/>
    <w:rsid w:val="7BF64A98"/>
    <w:rsid w:val="7D097DAB"/>
    <w:rsid w:val="7DBC1630"/>
    <w:rsid w:val="7FD9645B"/>
    <w:rsid w:val="7FEB0FD2"/>
    <w:rsid w:val="7FF257B3"/>
    <w:rsid w:val="7FFEAEC4"/>
    <w:rsid w:val="7FFF0049"/>
    <w:rsid w:val="7FFF3DAF"/>
    <w:rsid w:val="86AFD1D4"/>
    <w:rsid w:val="964F229A"/>
    <w:rsid w:val="9F6376E3"/>
    <w:rsid w:val="9FEB7537"/>
    <w:rsid w:val="A7FFA9FD"/>
    <w:rsid w:val="ADBFBC76"/>
    <w:rsid w:val="AFB3326A"/>
    <w:rsid w:val="BF7DB833"/>
    <w:rsid w:val="BFB7B014"/>
    <w:rsid w:val="CE3BC7E9"/>
    <w:rsid w:val="CFFFA50E"/>
    <w:rsid w:val="D5DDF061"/>
    <w:rsid w:val="D6BB9F3E"/>
    <w:rsid w:val="DBED31F0"/>
    <w:rsid w:val="DE73B658"/>
    <w:rsid w:val="DEF34EA5"/>
    <w:rsid w:val="DFF5B588"/>
    <w:rsid w:val="EBE343F8"/>
    <w:rsid w:val="ECFD690A"/>
    <w:rsid w:val="EDAF182D"/>
    <w:rsid w:val="EDB7B689"/>
    <w:rsid w:val="EEF7FE01"/>
    <w:rsid w:val="EF63A085"/>
    <w:rsid w:val="F747EDEA"/>
    <w:rsid w:val="F97EDDB5"/>
    <w:rsid w:val="FA7CD56E"/>
    <w:rsid w:val="FAEF7DD4"/>
    <w:rsid w:val="FBDFE46E"/>
    <w:rsid w:val="FDA98934"/>
    <w:rsid w:val="FDFE9495"/>
    <w:rsid w:val="FDFF1DE6"/>
    <w:rsid w:val="FDFFE936"/>
    <w:rsid w:val="FDFFF4D8"/>
    <w:rsid w:val="FF7FF6C4"/>
    <w:rsid w:val="FFF7F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b/>
      <w:bCs/>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widowControl/>
      <w:ind w:firstLine="560"/>
      <w:textAlignment w:val="baseline"/>
    </w:pPr>
    <w:rPr>
      <w:rFonts w:eastAsia="仿宋_GB2312" w:cs="宋体"/>
      <w:sz w:val="24"/>
    </w:rPr>
  </w:style>
  <w:style w:type="paragraph" w:styleId="4">
    <w:name w:val="Balloon Text"/>
    <w:basedOn w:val="1"/>
    <w:link w:val="37"/>
    <w:semiHidden/>
    <w:unhideWhenUsed/>
    <w:qFormat/>
    <w:uiPriority w:val="99"/>
    <w:pPr>
      <w:spacing w:line="240" w:lineRule="auto"/>
    </w:pPr>
    <w:rPr>
      <w:sz w:val="18"/>
      <w:szCs w:val="18"/>
    </w:rPr>
  </w:style>
  <w:style w:type="paragraph" w:styleId="5">
    <w:name w:val="footer"/>
    <w:basedOn w:val="1"/>
    <w:link w:val="23"/>
    <w:unhideWhenUsed/>
    <w:qFormat/>
    <w:uiPriority w:val="99"/>
    <w:pPr>
      <w:tabs>
        <w:tab w:val="center" w:pos="4153"/>
        <w:tab w:val="right" w:pos="8306"/>
      </w:tabs>
      <w:spacing w:line="240" w:lineRule="atLeast"/>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semiHidden/>
    <w:unhideWhenUsed/>
    <w:qFormat/>
    <w:uiPriority w:val="99"/>
    <w:pPr>
      <w:spacing w:beforeAutospacing="1" w:afterAutospacing="1"/>
      <w:jc w:val="left"/>
    </w:pPr>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u w:val="none"/>
    </w:rPr>
  </w:style>
  <w:style w:type="character" w:styleId="13">
    <w:name w:val="Emphasis"/>
    <w:basedOn w:val="10"/>
    <w:qFormat/>
    <w:uiPriority w:val="20"/>
    <w:rPr>
      <w:b/>
      <w:bCs/>
    </w:rPr>
  </w:style>
  <w:style w:type="character" w:styleId="14">
    <w:name w:val="HTML Definition"/>
    <w:basedOn w:val="10"/>
    <w:semiHidden/>
    <w:unhideWhenUsed/>
    <w:qFormat/>
    <w:uiPriority w:val="99"/>
  </w:style>
  <w:style w:type="character" w:styleId="15">
    <w:name w:val="HTML Acronym"/>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semiHidden/>
    <w:unhideWhenUsed/>
    <w:qFormat/>
    <w:uiPriority w:val="99"/>
    <w:rPr>
      <w:color w:val="0000FF"/>
      <w:u w:val="none"/>
    </w:rPr>
  </w:style>
  <w:style w:type="character" w:styleId="18">
    <w:name w:val="HTML Code"/>
    <w:basedOn w:val="10"/>
    <w:semiHidden/>
    <w:unhideWhenUsed/>
    <w:qFormat/>
    <w:uiPriority w:val="99"/>
    <w:rPr>
      <w:rFonts w:hint="default" w:ascii="Consolas" w:hAnsi="Consolas" w:eastAsia="Consolas" w:cs="Consolas"/>
      <w:color w:val="C7254E"/>
      <w:sz w:val="21"/>
      <w:szCs w:val="21"/>
      <w:shd w:val="clear" w:color="auto" w:fill="F9F2F4"/>
    </w:rPr>
  </w:style>
  <w:style w:type="character" w:styleId="19">
    <w:name w:val="HTML Cite"/>
    <w:basedOn w:val="10"/>
    <w:semiHidden/>
    <w:unhideWhenUsed/>
    <w:qFormat/>
    <w:uiPriority w:val="99"/>
  </w:style>
  <w:style w:type="character" w:styleId="20">
    <w:name w:val="HTML Keyboard"/>
    <w:basedOn w:val="10"/>
    <w:semiHidden/>
    <w:unhideWhenUsed/>
    <w:qFormat/>
    <w:uiPriority w:val="99"/>
    <w:rPr>
      <w:rFonts w:hint="default" w:ascii="Consolas" w:hAnsi="Consolas" w:eastAsia="Consolas" w:cs="Consolas"/>
      <w:color w:val="FFFFFF"/>
      <w:sz w:val="21"/>
      <w:szCs w:val="21"/>
      <w:shd w:val="clear" w:color="auto" w:fill="333333"/>
    </w:rPr>
  </w:style>
  <w:style w:type="character" w:styleId="21">
    <w:name w:val="HTML Sample"/>
    <w:basedOn w:val="10"/>
    <w:semiHidden/>
    <w:unhideWhenUsed/>
    <w:qFormat/>
    <w:uiPriority w:val="99"/>
    <w:rPr>
      <w:rFonts w:ascii="Consolas" w:hAnsi="Consolas" w:eastAsia="Consolas" w:cs="Consolas"/>
      <w:sz w:val="21"/>
      <w:szCs w:val="21"/>
    </w:rPr>
  </w:style>
  <w:style w:type="character" w:customStyle="1" w:styleId="22">
    <w:name w:val="页眉 Char"/>
    <w:basedOn w:val="10"/>
    <w:link w:val="6"/>
    <w:qFormat/>
    <w:uiPriority w:val="99"/>
    <w:rPr>
      <w:rFonts w:ascii="Times New Roman" w:hAnsi="Times New Roman" w:eastAsia="方正仿宋_GBK" w:cs="Times New Roman"/>
      <w:snapToGrid w:val="0"/>
      <w:kern w:val="0"/>
      <w:sz w:val="18"/>
      <w:szCs w:val="18"/>
    </w:rPr>
  </w:style>
  <w:style w:type="character" w:customStyle="1" w:styleId="23">
    <w:name w:val="页脚 Char"/>
    <w:basedOn w:val="10"/>
    <w:link w:val="5"/>
    <w:qFormat/>
    <w:uiPriority w:val="99"/>
    <w:rPr>
      <w:rFonts w:ascii="Times New Roman" w:hAnsi="Times New Roman" w:eastAsia="方正仿宋_GBK" w:cs="Times New Roman"/>
      <w:snapToGrid w:val="0"/>
      <w:kern w:val="0"/>
      <w:sz w:val="18"/>
      <w:szCs w:val="18"/>
    </w:rPr>
  </w:style>
  <w:style w:type="character" w:customStyle="1" w:styleId="24">
    <w:name w:val="hover9"/>
    <w:basedOn w:val="10"/>
    <w:qFormat/>
    <w:uiPriority w:val="0"/>
    <w:rPr>
      <w:color w:val="245399"/>
    </w:rPr>
  </w:style>
  <w:style w:type="character" w:customStyle="1" w:styleId="25">
    <w:name w:val="hover10"/>
    <w:basedOn w:val="10"/>
    <w:qFormat/>
    <w:uiPriority w:val="0"/>
    <w:rPr>
      <w:color w:val="245399"/>
    </w:rPr>
  </w:style>
  <w:style w:type="character" w:customStyle="1" w:styleId="26">
    <w:name w:val="hover11"/>
    <w:basedOn w:val="10"/>
    <w:qFormat/>
    <w:uiPriority w:val="0"/>
    <w:rPr>
      <w:color w:val="FFFFFF"/>
    </w:rPr>
  </w:style>
  <w:style w:type="character" w:customStyle="1" w:styleId="27">
    <w:name w:val="hover"/>
    <w:basedOn w:val="10"/>
    <w:qFormat/>
    <w:uiPriority w:val="0"/>
    <w:rPr>
      <w:color w:val="FFFFFF"/>
    </w:rPr>
  </w:style>
  <w:style w:type="character" w:customStyle="1" w:styleId="28">
    <w:name w:val="hover1"/>
    <w:basedOn w:val="10"/>
    <w:qFormat/>
    <w:uiPriority w:val="0"/>
    <w:rPr>
      <w:color w:val="245399"/>
    </w:rPr>
  </w:style>
  <w:style w:type="character" w:customStyle="1" w:styleId="29">
    <w:name w:val="hover2"/>
    <w:basedOn w:val="10"/>
    <w:qFormat/>
    <w:uiPriority w:val="0"/>
    <w:rPr>
      <w:color w:val="245399"/>
    </w:rPr>
  </w:style>
  <w:style w:type="character" w:customStyle="1" w:styleId="30">
    <w:name w:val="hover8"/>
    <w:basedOn w:val="10"/>
    <w:qFormat/>
    <w:uiPriority w:val="0"/>
    <w:rPr>
      <w:color w:val="FFFFFF"/>
    </w:rPr>
  </w:style>
  <w:style w:type="character" w:customStyle="1" w:styleId="31">
    <w:name w:val="wx-space"/>
    <w:basedOn w:val="10"/>
    <w:qFormat/>
    <w:uiPriority w:val="0"/>
  </w:style>
  <w:style w:type="character" w:customStyle="1" w:styleId="32">
    <w:name w:val="wx-space1"/>
    <w:basedOn w:val="10"/>
    <w:qFormat/>
    <w:uiPriority w:val="0"/>
  </w:style>
  <w:style w:type="character" w:customStyle="1" w:styleId="33">
    <w:name w:val="handle"/>
    <w:basedOn w:val="10"/>
    <w:qFormat/>
    <w:uiPriority w:val="0"/>
  </w:style>
  <w:style w:type="character" w:customStyle="1" w:styleId="34">
    <w:name w:val="first-child"/>
    <w:basedOn w:val="10"/>
    <w:qFormat/>
    <w:uiPriority w:val="0"/>
  </w:style>
  <w:style w:type="character" w:customStyle="1" w:styleId="35">
    <w:name w:val="direct"/>
    <w:basedOn w:val="10"/>
    <w:qFormat/>
    <w:uiPriority w:val="0"/>
  </w:style>
  <w:style w:type="character" w:customStyle="1" w:styleId="36">
    <w:name w:val="layui-this"/>
    <w:basedOn w:val="10"/>
    <w:qFormat/>
    <w:uiPriority w:val="0"/>
    <w:rPr>
      <w:bdr w:val="single" w:color="EEEEEE" w:sz="6" w:space="0"/>
      <w:shd w:val="clear" w:color="auto" w:fill="FFFFFF"/>
    </w:rPr>
  </w:style>
  <w:style w:type="character" w:customStyle="1" w:styleId="37">
    <w:name w:val="批注框文本 Char"/>
    <w:basedOn w:val="10"/>
    <w:link w:val="4"/>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2858</Words>
  <Characters>3000</Characters>
  <Lines>24</Lines>
  <Paragraphs>6</Paragraphs>
  <TotalTime>27</TotalTime>
  <ScaleCrop>false</ScaleCrop>
  <LinksUpToDate>false</LinksUpToDate>
  <CharactersWithSpaces>3014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2022-01-18T18:32:00Z</dcterms:created>
  <dc:creator>lb</dc:creator>
  <cp:lastModifiedBy>Administrator</cp:lastModifiedBy>
  <dcterms:modified xsi:type="dcterms:W3CDTF">2023-07-11T06:42:12Z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BFE72657BE384504BC3DBB0C20CCF72E</vt:lpwstr>
  </property>
</Properties>
</file>