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4500" w:type="pct"/>
        <w:jc w:val="center"/>
        <w:shd w:val="clear" w:color="auto" w:fill="FFFFFF"/>
        <w:tblLayout w:type="autofit"/>
        <w:tblCellMar>
          <w:top w:w="0" w:type="dxa"/>
          <w:left w:w="0" w:type="dxa"/>
          <w:bottom w:w="0" w:type="dxa"/>
          <w:right w:w="0" w:type="dxa"/>
        </w:tblCellMar>
      </w:tblPr>
      <w:tblGrid>
        <w:gridCol w:w="7859"/>
      </w:tblGrid>
      <w:tr>
        <w:tblPrEx>
          <w:shd w:val="clear" w:color="auto" w:fill="FFFFFF"/>
          <w:tblCellMar>
            <w:top w:w="0" w:type="dxa"/>
            <w:left w:w="0" w:type="dxa"/>
            <w:bottom w:w="0" w:type="dxa"/>
            <w:right w:w="0" w:type="dxa"/>
          </w:tblCellMar>
        </w:tblPrEx>
        <w:trPr>
          <w:jc w:val="center"/>
        </w:trPr>
        <w:tc>
          <w:tcPr>
            <w:tcW w:w="0" w:type="auto"/>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w:t>
            </w:r>
            <w:r>
              <w:rPr>
                <w:rFonts w:hint="eastAsia" w:ascii="方正小标宋简体" w:hAnsi="方正小标宋简体" w:eastAsia="方正小标宋简体" w:cs="方正小标宋简体"/>
                <w:sz w:val="44"/>
                <w:szCs w:val="44"/>
                <w:lang w:val="en-US" w:eastAsia="zh-CN"/>
              </w:rPr>
              <w:t>商务外事服务中心</w:t>
            </w:r>
            <w:r>
              <w:rPr>
                <w:rFonts w:hint="eastAsia" w:ascii="方正小标宋简体" w:hAnsi="方正小标宋简体" w:eastAsia="方正小标宋简体" w:cs="方正小标宋简体"/>
                <w:sz w:val="44"/>
                <w:szCs w:val="44"/>
              </w:rPr>
              <w:t>2020年</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rPr>
            </w:pPr>
            <w:r>
              <w:rPr>
                <w:rFonts w:hint="eastAsia" w:ascii="方正小标宋简体" w:hAnsi="方正小标宋简体" w:eastAsia="方正小标宋简体" w:cs="方正小标宋简体"/>
                <w:sz w:val="44"/>
                <w:szCs w:val="44"/>
              </w:rPr>
              <w:t>政府信息公开工作年度报告</w:t>
            </w:r>
          </w:p>
        </w:tc>
      </w:tr>
      <w:tr>
        <w:tblPrEx>
          <w:tblCellMar>
            <w:top w:w="0" w:type="dxa"/>
            <w:left w:w="0" w:type="dxa"/>
            <w:bottom w:w="0" w:type="dxa"/>
            <w:right w:w="0" w:type="dxa"/>
          </w:tblCellMar>
        </w:tblPrEx>
        <w:trPr>
          <w:jc w:val="center"/>
        </w:trPr>
        <w:tc>
          <w:tcPr>
            <w:tcW w:w="0" w:type="auto"/>
            <w:shd w:val="clear" w:color="auto" w:fill="FFFFFF"/>
            <w:vAlign w:val="center"/>
          </w:tcPr>
          <w:p>
            <w:pPr>
              <w:rPr>
                <w:rFonts w:hint="default"/>
              </w:rPr>
            </w:pP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本报告根据《中华人民共和国政府信息公开条例》（国务院令第711号，以下简称《条例》）要求，由高青县商务外事服务中心</w:t>
      </w:r>
      <w:r>
        <w:rPr>
          <w:rFonts w:hint="eastAsia" w:ascii="仿宋_GB2312" w:hAnsi="仿宋_GB2312" w:eastAsia="仿宋_GB2312" w:cs="仿宋_GB2312"/>
          <w:sz w:val="32"/>
          <w:szCs w:val="32"/>
          <w:lang w:eastAsia="zh-CN"/>
        </w:rPr>
        <w:t>综合科</w:t>
      </w:r>
      <w:r>
        <w:rPr>
          <w:rFonts w:hint="eastAsia" w:ascii="仿宋_GB2312" w:hAnsi="仿宋_GB2312" w:eastAsia="仿宋_GB2312" w:cs="仿宋_GB2312"/>
          <w:sz w:val="32"/>
          <w:szCs w:val="32"/>
        </w:rPr>
        <w:t>综合本单位政府信息公开工作情况编制。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报告中所列数据统计期限自2020年1月1日始，至2020年12月31日止。报告电子版可在高青县人民政府门户网站（www.gaoqing.gov.cn）查阅和下载。如对报告内容有疑问，请与高青县商务外事服务中心</w:t>
      </w:r>
      <w:r>
        <w:rPr>
          <w:rFonts w:hint="eastAsia" w:ascii="仿宋_GB2312" w:hAnsi="仿宋_GB2312" w:eastAsia="仿宋_GB2312" w:cs="仿宋_GB2312"/>
          <w:sz w:val="32"/>
          <w:szCs w:val="32"/>
          <w:lang w:eastAsia="zh-CN"/>
        </w:rPr>
        <w:t>综合科</w:t>
      </w:r>
      <w:r>
        <w:rPr>
          <w:rFonts w:hint="eastAsia" w:ascii="仿宋_GB2312" w:hAnsi="仿宋_GB2312" w:eastAsia="仿宋_GB2312" w:cs="仿宋_GB2312"/>
          <w:sz w:val="32"/>
          <w:szCs w:val="32"/>
        </w:rPr>
        <w:t>联系(地址:高青县</w:t>
      </w:r>
      <w:r>
        <w:rPr>
          <w:rFonts w:hint="eastAsia" w:ascii="仿宋_GB2312" w:hAnsi="仿宋_GB2312" w:eastAsia="仿宋_GB2312" w:cs="仿宋_GB2312"/>
          <w:sz w:val="32"/>
          <w:szCs w:val="32"/>
          <w:lang w:eastAsia="zh-CN"/>
        </w:rPr>
        <w:t>芦湖街道清河路</w:t>
      </w:r>
      <w:r>
        <w:rPr>
          <w:rFonts w:hint="eastAsia" w:ascii="仿宋_GB2312" w:hAnsi="仿宋_GB2312" w:eastAsia="仿宋_GB2312" w:cs="仿宋_GB2312"/>
          <w:sz w:val="32"/>
          <w:szCs w:val="32"/>
          <w:lang w:val="en-US" w:eastAsia="zh-CN"/>
        </w:rPr>
        <w:t>9号</w:t>
      </w:r>
      <w:r>
        <w:rPr>
          <w:rFonts w:hint="eastAsia" w:ascii="仿宋_GB2312" w:hAnsi="仿宋_GB2312" w:eastAsia="仿宋_GB2312" w:cs="仿宋_GB2312"/>
          <w:sz w:val="32"/>
          <w:szCs w:val="32"/>
        </w:rPr>
        <w:t>;邮编:256300;电话:0533-6967601;传真:0533-6967601)。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   一、总体情况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（一）体制机制建设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单位平时通过在高青县人民政府门户网站、高青商务外事微信公众号等平台发布重要文件和活动等形式开展信息公开工作，由李栋分管信息公开，由综合科具体负责，其中共有三名工作人员。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单位严格遵守信息公开制度的有关规定，定期维护和更新本单位公开的政府信息，组织编制本单位的政府信息公开指南以方便群众查询，同时对拟公开的政府信息进行保密审查。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主动公开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2020年高青县商务外事服务中心收到0件代表建议。公开促进中小微企业发展文件1个，政策类文件3个，《政府工作报告》中涉及商务外事的重点任务进展情况3次，商务外事工作年度重点工作完成情况1次，2020年涉及商务外事工作的民生实事项目进展情况2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（三）依申请公开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1.收到和处理政府信息公开申请情况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2020年，我单位共收到政府信息公开申请</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件，按时办结数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件。在办结的申请中：予以公开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件，部分公开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件，不予公开</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件，无法提供</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 xml:space="preserve"> 件，不予处理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件，其他处理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2.收费和减免情况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2020年，我单位在政府信息公开申请办理过程中，未收取任何费用。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3.政府信息公开行政复议、行政诉讼情况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2020年，本单位因政府信息公开被申请行政复议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件。其中，未经复议直接起诉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件，复议后起诉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件。在行政诉讼案件中，结果维持数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件，结果纠正数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件，尚未审结数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件，其他结果数</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拟定公文时提出信息公开属性建议，在发文批办单上注明“主动公开”“依申请公开”“不予公开”等字样；对于主动公开的公文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我单位会</w:t>
      </w:r>
      <w:r>
        <w:rPr>
          <w:rFonts w:hint="eastAsia" w:ascii="仿宋_GB2312" w:hAnsi="仿宋_GB2312" w:eastAsia="仿宋_GB2312" w:cs="仿宋_GB2312"/>
          <w:sz w:val="32"/>
          <w:szCs w:val="32"/>
        </w:rPr>
        <w:t>通过</w:t>
      </w:r>
      <w:r>
        <w:rPr>
          <w:rFonts w:hint="eastAsia" w:ascii="仿宋_GB2312" w:hAnsi="仿宋_GB2312" w:eastAsia="仿宋_GB2312" w:cs="仿宋_GB2312"/>
          <w:sz w:val="32"/>
          <w:szCs w:val="32"/>
          <w:lang w:val="en-US" w:eastAsia="zh-CN"/>
        </w:rPr>
        <w:t>高青县政府门户网和高青商务外事微信公众号</w:t>
      </w:r>
      <w:r>
        <w:rPr>
          <w:rFonts w:hint="eastAsia" w:ascii="仿宋_GB2312" w:hAnsi="仿宋_GB2312" w:eastAsia="仿宋_GB2312" w:cs="仿宋_GB2312"/>
          <w:sz w:val="32"/>
          <w:szCs w:val="32"/>
        </w:rPr>
        <w:t>进行公开；</w:t>
      </w:r>
      <w:r>
        <w:rPr>
          <w:rFonts w:hint="eastAsia" w:ascii="仿宋_GB2312" w:hAnsi="仿宋_GB2312" w:eastAsia="仿宋_GB2312" w:cs="仿宋_GB2312"/>
          <w:sz w:val="32"/>
          <w:szCs w:val="32"/>
          <w:lang w:val="en-US" w:eastAsia="zh-CN"/>
        </w:rPr>
        <w:t>同时，工作人员会</w:t>
      </w:r>
      <w:r>
        <w:rPr>
          <w:rFonts w:hint="eastAsia" w:ascii="仿宋_GB2312" w:hAnsi="仿宋_GB2312" w:eastAsia="仿宋_GB2312" w:cs="仿宋_GB2312"/>
          <w:sz w:val="32"/>
          <w:szCs w:val="32"/>
        </w:rPr>
        <w:t>对失效的文件定期进行清理</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（五）平台建设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加强平台建设，单位</w:t>
      </w:r>
      <w:r>
        <w:rPr>
          <w:rFonts w:hint="eastAsia" w:ascii="仿宋_GB2312" w:hAnsi="仿宋_GB2312" w:eastAsia="仿宋_GB2312" w:cs="仿宋_GB2312"/>
          <w:sz w:val="32"/>
          <w:szCs w:val="32"/>
          <w:lang w:val="en-US" w:eastAsia="zh-CN"/>
        </w:rPr>
        <w:t>高青县政府门户网和高青商务外事微信公众号</w:t>
      </w:r>
      <w:r>
        <w:rPr>
          <w:rFonts w:hint="eastAsia" w:ascii="仿宋_GB2312" w:hAnsi="仿宋_GB2312" w:eastAsia="仿宋_GB2312" w:cs="仿宋_GB2312"/>
          <w:sz w:val="32"/>
          <w:szCs w:val="32"/>
        </w:rPr>
        <w:t>进行公开</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eastAsia="zh-CN"/>
        </w:rPr>
        <w:drawing>
          <wp:anchor distT="0" distB="0" distL="114300" distR="114300" simplePos="0" relativeHeight="251659264" behindDoc="0" locked="0" layoutInCell="1" allowOverlap="1">
            <wp:simplePos x="0" y="0"/>
            <wp:positionH relativeFrom="column">
              <wp:posOffset>2844800</wp:posOffset>
            </wp:positionH>
            <wp:positionV relativeFrom="paragraph">
              <wp:posOffset>67945</wp:posOffset>
            </wp:positionV>
            <wp:extent cx="1982470" cy="1489075"/>
            <wp:effectExtent l="0" t="0" r="17780" b="15875"/>
            <wp:wrapTopAndBottom/>
            <wp:docPr id="2" name="图片 2" descr="16115393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1539386(1)"/>
                    <pic:cNvPicPr>
                      <a:picLocks noChangeAspect="1"/>
                    </pic:cNvPicPr>
                  </pic:nvPicPr>
                  <pic:blipFill>
                    <a:blip r:embed="rId4"/>
                    <a:stretch>
                      <a:fillRect/>
                    </a:stretch>
                  </pic:blipFill>
                  <pic:spPr>
                    <a:xfrm>
                      <a:off x="0" y="0"/>
                      <a:ext cx="1982470" cy="1489075"/>
                    </a:xfrm>
                    <a:prstGeom prst="rect">
                      <a:avLst/>
                    </a:prstGeom>
                  </pic:spPr>
                </pic:pic>
              </a:graphicData>
            </a:graphic>
          </wp:anchor>
        </w:drawing>
      </w:r>
      <w:r>
        <w:rPr>
          <w:rFonts w:hint="eastAsia" w:ascii="仿宋_GB2312" w:hAnsi="仿宋_GB2312" w:eastAsia="仿宋_GB2312" w:cs="仿宋_GB2312"/>
          <w:sz w:val="32"/>
          <w:szCs w:val="32"/>
          <w:lang w:eastAsia="zh-CN"/>
        </w:rPr>
        <w:drawing>
          <wp:anchor distT="0" distB="0" distL="114300" distR="114300" simplePos="0" relativeHeight="251658240" behindDoc="0" locked="0" layoutInCell="1" allowOverlap="1">
            <wp:simplePos x="0" y="0"/>
            <wp:positionH relativeFrom="column">
              <wp:posOffset>463550</wp:posOffset>
            </wp:positionH>
            <wp:positionV relativeFrom="paragraph">
              <wp:posOffset>38735</wp:posOffset>
            </wp:positionV>
            <wp:extent cx="1976755" cy="1520190"/>
            <wp:effectExtent l="0" t="0" r="4445" b="3810"/>
            <wp:wrapNone/>
            <wp:docPr id="1" name="图片 1" descr="ec196f0a27e31f88450348f17613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c196f0a27e31f88450348f17613412"/>
                    <pic:cNvPicPr>
                      <a:picLocks noChangeAspect="1"/>
                    </pic:cNvPicPr>
                  </pic:nvPicPr>
                  <pic:blipFill>
                    <a:blip r:embed="rId5"/>
                    <a:stretch>
                      <a:fillRect/>
                    </a:stretch>
                  </pic:blipFill>
                  <pic:spPr>
                    <a:xfrm>
                      <a:off x="0" y="0"/>
                      <a:ext cx="1976755" cy="1520190"/>
                    </a:xfrm>
                    <a:prstGeom prst="rect">
                      <a:avLst/>
                    </a:prstGeom>
                  </pic:spPr>
                </pic:pic>
              </a:graphicData>
            </a:graphic>
          </wp:anchor>
        </w:drawing>
      </w:r>
      <w:r>
        <w:rPr>
          <w:rFonts w:hint="eastAsia" w:ascii="楷体_GB2312" w:hAnsi="楷体_GB2312" w:eastAsia="楷体_GB2312" w:cs="楷体_GB2312"/>
          <w:sz w:val="32"/>
          <w:szCs w:val="32"/>
        </w:rPr>
        <w:t>（六）监督保障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anchor distT="0" distB="0" distL="114300" distR="114300" simplePos="0" relativeHeight="251660288" behindDoc="0" locked="0" layoutInCell="1" allowOverlap="1">
            <wp:simplePos x="0" y="0"/>
            <wp:positionH relativeFrom="column">
              <wp:posOffset>430530</wp:posOffset>
            </wp:positionH>
            <wp:positionV relativeFrom="paragraph">
              <wp:posOffset>1218565</wp:posOffset>
            </wp:positionV>
            <wp:extent cx="2115820" cy="1586865"/>
            <wp:effectExtent l="0" t="0" r="17780" b="13335"/>
            <wp:wrapTopAndBottom/>
            <wp:docPr id="3" name="图片 3" descr="c9f02af5809979573c486d4c20a6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9f02af5809979573c486d4c20a6193"/>
                    <pic:cNvPicPr>
                      <a:picLocks noChangeAspect="1"/>
                    </pic:cNvPicPr>
                  </pic:nvPicPr>
                  <pic:blipFill>
                    <a:blip r:embed="rId6"/>
                    <a:stretch>
                      <a:fillRect/>
                    </a:stretch>
                  </pic:blipFill>
                  <pic:spPr>
                    <a:xfrm>
                      <a:off x="0" y="0"/>
                      <a:ext cx="2115820" cy="1586865"/>
                    </a:xfrm>
                    <a:prstGeom prst="rect">
                      <a:avLst/>
                    </a:prstGeom>
                  </pic:spPr>
                </pic:pic>
              </a:graphicData>
            </a:graphic>
          </wp:anchor>
        </w:drawing>
      </w:r>
      <w:r>
        <w:rPr>
          <w:rFonts w:hint="eastAsia" w:ascii="仿宋_GB2312" w:hAnsi="仿宋_GB2312" w:eastAsia="仿宋_GB2312" w:cs="仿宋_GB2312"/>
          <w:sz w:val="32"/>
          <w:szCs w:val="32"/>
          <w:lang w:val="en-US" w:eastAsia="zh-CN"/>
        </w:rPr>
        <w:drawing>
          <wp:anchor distT="0" distB="0" distL="114300" distR="114300" simplePos="0" relativeHeight="251661312" behindDoc="0" locked="0" layoutInCell="1" allowOverlap="1">
            <wp:simplePos x="0" y="0"/>
            <wp:positionH relativeFrom="column">
              <wp:posOffset>2990850</wp:posOffset>
            </wp:positionH>
            <wp:positionV relativeFrom="paragraph">
              <wp:posOffset>1233170</wp:posOffset>
            </wp:positionV>
            <wp:extent cx="2028190" cy="1521460"/>
            <wp:effectExtent l="0" t="0" r="10160" b="2540"/>
            <wp:wrapTopAndBottom/>
            <wp:docPr id="4" name="图片 4" descr="cbeae4b6804a02c8010efe2ccb28d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beae4b6804a02c8010efe2ccb28df4"/>
                    <pic:cNvPicPr>
                      <a:picLocks noChangeAspect="1"/>
                    </pic:cNvPicPr>
                  </pic:nvPicPr>
                  <pic:blipFill>
                    <a:blip r:embed="rId7"/>
                    <a:stretch>
                      <a:fillRect/>
                    </a:stretch>
                  </pic:blipFill>
                  <pic:spPr>
                    <a:xfrm>
                      <a:off x="0" y="0"/>
                      <a:ext cx="2028190" cy="1521460"/>
                    </a:xfrm>
                    <a:prstGeom prst="rect">
                      <a:avLst/>
                    </a:prstGeom>
                  </pic:spPr>
                </pic:pic>
              </a:graphicData>
            </a:graphic>
          </wp:anchor>
        </w:drawing>
      </w:r>
      <w:r>
        <w:rPr>
          <w:rFonts w:hint="eastAsia" w:ascii="仿宋_GB2312" w:hAnsi="仿宋_GB2312" w:eastAsia="仿宋_GB2312" w:cs="仿宋_GB2312"/>
          <w:sz w:val="32"/>
          <w:szCs w:val="32"/>
          <w:lang w:val="en-US" w:eastAsia="zh-CN"/>
        </w:rPr>
        <w:t>健全信息公开监督管理机制，明确政务公开工作组织领导，加强政务公开培训，制定政务公开工作流程，通过政府开放日等行动，加强政务公开监督管理。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8700" w:type="dxa"/>
        <w:jc w:val="center"/>
        <w:tblLayout w:type="autofit"/>
        <w:tblCellMar>
          <w:top w:w="0" w:type="dxa"/>
          <w:left w:w="108" w:type="dxa"/>
          <w:bottom w:w="0" w:type="dxa"/>
          <w:right w:w="108" w:type="dxa"/>
        </w:tblCellMar>
      </w:tblPr>
      <w:tblGrid>
        <w:gridCol w:w="2750"/>
        <w:gridCol w:w="1982"/>
        <w:gridCol w:w="1983"/>
        <w:gridCol w:w="1985"/>
      </w:tblGrid>
      <w:tr>
        <w:tblPrEx>
          <w:tblCellMar>
            <w:top w:w="0" w:type="dxa"/>
            <w:left w:w="108" w:type="dxa"/>
            <w:bottom w:w="0" w:type="dxa"/>
            <w:right w:w="108" w:type="dxa"/>
          </w:tblCellMar>
        </w:tblPrEx>
        <w:trPr>
          <w:trHeight w:val="617" w:hRule="atLeast"/>
          <w:jc w:val="center"/>
        </w:trPr>
        <w:tc>
          <w:tcPr>
            <w:tcW w:w="87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黑体" w:cs="黑体"/>
                <w:sz w:val="24"/>
                <w:szCs w:val="28"/>
              </w:rPr>
            </w:pPr>
            <w:r>
              <w:rPr>
                <w:rFonts w:hint="eastAsia" w:ascii="黑体" w:hAnsi="黑体" w:eastAsia="黑体" w:cs="黑体"/>
                <w:sz w:val="24"/>
                <w:szCs w:val="28"/>
              </w:rPr>
              <w:t>第二十条第（一）项</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信息内容</w:t>
            </w:r>
          </w:p>
        </w:tc>
        <w:tc>
          <w:tcPr>
            <w:tcW w:w="1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本年新制作数量</w:t>
            </w:r>
          </w:p>
        </w:tc>
        <w:tc>
          <w:tcPr>
            <w:tcW w:w="1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本年新公开数量</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对外公开总数量</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规章</w:t>
            </w:r>
          </w:p>
        </w:tc>
        <w:tc>
          <w:tcPr>
            <w:tcW w:w="1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xml:space="preserve">  </w:t>
            </w:r>
            <w:r>
              <w:rPr>
                <w:rFonts w:hint="default"/>
                <w:sz w:val="24"/>
                <w:szCs w:val="28"/>
                <w:lang w:val="en-US" w:eastAsia="zh-CN"/>
              </w:rPr>
              <w:t>0</w:t>
            </w:r>
          </w:p>
        </w:tc>
        <w:tc>
          <w:tcPr>
            <w:tcW w:w="1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规范性文件</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 xml:space="preserve"> </w:t>
            </w:r>
            <w:r>
              <w:rPr>
                <w:rFonts w:hint="default"/>
                <w:sz w:val="24"/>
                <w:szCs w:val="28"/>
                <w:lang w:val="en-US" w:eastAsia="zh-CN"/>
              </w:rPr>
              <w:t>0</w:t>
            </w:r>
            <w:r>
              <w:rPr>
                <w:rFonts w:hint="default"/>
                <w:sz w:val="24"/>
                <w:szCs w:val="28"/>
              </w:rPr>
              <w:t xml:space="preserve"> </w:t>
            </w:r>
          </w:p>
        </w:tc>
        <w:tc>
          <w:tcPr>
            <w:tcW w:w="1983" w:type="dxa"/>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r>
      <w:tr>
        <w:tblPrEx>
          <w:tblCellMar>
            <w:top w:w="0" w:type="dxa"/>
            <w:left w:w="108" w:type="dxa"/>
            <w:bottom w:w="0" w:type="dxa"/>
            <w:right w:w="108" w:type="dxa"/>
          </w:tblCellMar>
        </w:tblPrEx>
        <w:trPr>
          <w:trHeight w:val="670" w:hRule="atLeast"/>
          <w:jc w:val="center"/>
        </w:trPr>
        <w:tc>
          <w:tcPr>
            <w:tcW w:w="87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4"/>
                <w:szCs w:val="28"/>
              </w:rPr>
            </w:pPr>
            <w:r>
              <w:rPr>
                <w:rFonts w:hint="default" w:ascii="黑体" w:hAnsi="黑体" w:eastAsia="黑体" w:cs="黑体"/>
                <w:sz w:val="24"/>
                <w:szCs w:val="28"/>
              </w:rPr>
              <w:t>第二十条第（五）项</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信息内容</w:t>
            </w:r>
          </w:p>
        </w:tc>
        <w:tc>
          <w:tcPr>
            <w:tcW w:w="1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上一年项目数量</w:t>
            </w:r>
          </w:p>
        </w:tc>
        <w:tc>
          <w:tcPr>
            <w:tcW w:w="1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本年增/减</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处理决定数量</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行政许可</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其他对外管理服务事项</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eastAsia"/>
                <w:sz w:val="24"/>
                <w:szCs w:val="28"/>
                <w:lang w:val="en-US" w:eastAsia="zh-CN"/>
              </w:rPr>
              <w:t>5</w:t>
            </w:r>
          </w:p>
        </w:tc>
        <w:tc>
          <w:tcPr>
            <w:tcW w:w="198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eastAsia"/>
                <w:sz w:val="24"/>
                <w:szCs w:val="28"/>
                <w:lang w:val="en-US" w:eastAsia="zh-CN"/>
              </w:rPr>
              <w:t>13</w:t>
            </w:r>
            <w:bookmarkStart w:id="0" w:name="_GoBack"/>
            <w:bookmarkEnd w:id="0"/>
          </w:p>
        </w:tc>
      </w:tr>
      <w:tr>
        <w:tblPrEx>
          <w:tblCellMar>
            <w:top w:w="0" w:type="dxa"/>
            <w:left w:w="108" w:type="dxa"/>
            <w:bottom w:w="0" w:type="dxa"/>
            <w:right w:w="108" w:type="dxa"/>
          </w:tblCellMar>
        </w:tblPrEx>
        <w:trPr>
          <w:trHeight w:val="670" w:hRule="atLeast"/>
          <w:jc w:val="center"/>
        </w:trPr>
        <w:tc>
          <w:tcPr>
            <w:tcW w:w="87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4"/>
                <w:szCs w:val="28"/>
              </w:rPr>
            </w:pPr>
            <w:r>
              <w:rPr>
                <w:rFonts w:hint="default" w:ascii="黑体" w:hAnsi="黑体" w:eastAsia="黑体" w:cs="黑体"/>
                <w:sz w:val="24"/>
                <w:szCs w:val="28"/>
              </w:rPr>
              <w:t>第二十条第（六）项</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信息内容</w:t>
            </w:r>
          </w:p>
        </w:tc>
        <w:tc>
          <w:tcPr>
            <w:tcW w:w="1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上一年项目数量</w:t>
            </w:r>
          </w:p>
        </w:tc>
        <w:tc>
          <w:tcPr>
            <w:tcW w:w="198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本年增/减</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处理决定数量</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行政处罚</w:t>
            </w:r>
          </w:p>
        </w:tc>
        <w:tc>
          <w:tcPr>
            <w:tcW w:w="19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行政强制</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3"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1985"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r>
      <w:tr>
        <w:tblPrEx>
          <w:tblCellMar>
            <w:top w:w="0" w:type="dxa"/>
            <w:left w:w="108" w:type="dxa"/>
            <w:bottom w:w="0" w:type="dxa"/>
            <w:right w:w="108" w:type="dxa"/>
          </w:tblCellMar>
        </w:tblPrEx>
        <w:trPr>
          <w:trHeight w:val="670" w:hRule="atLeast"/>
          <w:jc w:val="center"/>
        </w:trPr>
        <w:tc>
          <w:tcPr>
            <w:tcW w:w="87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4"/>
                <w:szCs w:val="28"/>
              </w:rPr>
            </w:pPr>
            <w:r>
              <w:rPr>
                <w:rFonts w:hint="default" w:ascii="黑体" w:hAnsi="黑体" w:eastAsia="黑体" w:cs="黑体"/>
                <w:sz w:val="24"/>
                <w:szCs w:val="28"/>
              </w:rPr>
              <w:t>第二十条第（八）项</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信息内容</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上一年项目数量</w:t>
            </w:r>
          </w:p>
        </w:tc>
        <w:tc>
          <w:tcPr>
            <w:tcW w:w="3968"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本年增/减</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行政事业性收费</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3968"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lang w:val="en-US" w:eastAsia="zh-CN"/>
              </w:rPr>
              <w:t>0</w:t>
            </w:r>
            <w:r>
              <w:rPr>
                <w:rFonts w:hint="default"/>
                <w:sz w:val="24"/>
                <w:szCs w:val="28"/>
              </w:rPr>
              <w:t> </w:t>
            </w:r>
          </w:p>
        </w:tc>
      </w:tr>
      <w:tr>
        <w:tblPrEx>
          <w:tblCellMar>
            <w:top w:w="0" w:type="dxa"/>
            <w:left w:w="108" w:type="dxa"/>
            <w:bottom w:w="0" w:type="dxa"/>
            <w:right w:w="108" w:type="dxa"/>
          </w:tblCellMar>
        </w:tblPrEx>
        <w:trPr>
          <w:trHeight w:val="670" w:hRule="atLeast"/>
          <w:jc w:val="center"/>
        </w:trPr>
        <w:tc>
          <w:tcPr>
            <w:tcW w:w="87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4"/>
                <w:szCs w:val="28"/>
              </w:rPr>
            </w:pPr>
            <w:r>
              <w:rPr>
                <w:rFonts w:hint="default" w:ascii="黑体" w:hAnsi="黑体" w:eastAsia="黑体" w:cs="黑体"/>
                <w:sz w:val="24"/>
                <w:szCs w:val="28"/>
              </w:rPr>
              <w:t>第二十条第（九）项</w:t>
            </w:r>
          </w:p>
        </w:tc>
      </w:tr>
      <w:tr>
        <w:tblPrEx>
          <w:tblCellMar>
            <w:top w:w="0" w:type="dxa"/>
            <w:left w:w="108" w:type="dxa"/>
            <w:bottom w:w="0" w:type="dxa"/>
            <w:right w:w="108" w:type="dxa"/>
          </w:tblCellMar>
        </w:tblPrEx>
        <w:trPr>
          <w:trHeight w:val="670"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信息内容</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采购项目数量</w:t>
            </w:r>
          </w:p>
        </w:tc>
        <w:tc>
          <w:tcPr>
            <w:tcW w:w="3968"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采购总金额</w:t>
            </w:r>
          </w:p>
        </w:tc>
      </w:tr>
      <w:tr>
        <w:tblPrEx>
          <w:tblCellMar>
            <w:top w:w="0" w:type="dxa"/>
            <w:left w:w="108" w:type="dxa"/>
            <w:bottom w:w="0" w:type="dxa"/>
            <w:right w:w="108" w:type="dxa"/>
          </w:tblCellMar>
        </w:tblPrEx>
        <w:trPr>
          <w:trHeight w:val="693" w:hRule="atLeast"/>
          <w:jc w:val="center"/>
        </w:trPr>
        <w:tc>
          <w:tcPr>
            <w:tcW w:w="2750"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rPr>
            </w:pPr>
            <w:r>
              <w:rPr>
                <w:rFonts w:hint="default"/>
                <w:sz w:val="24"/>
                <w:szCs w:val="28"/>
              </w:rPr>
              <w:t>政府集中采购</w:t>
            </w:r>
          </w:p>
        </w:tc>
        <w:tc>
          <w:tcPr>
            <w:tcW w:w="1982" w:type="dxa"/>
            <w:tcBorders>
              <w:top w:val="nil"/>
              <w:left w:val="nil"/>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rPr>
              <w:t>　</w:t>
            </w:r>
            <w:r>
              <w:rPr>
                <w:rFonts w:hint="default"/>
                <w:sz w:val="24"/>
                <w:szCs w:val="28"/>
                <w:lang w:val="en-US" w:eastAsia="zh-CN"/>
              </w:rPr>
              <w:t>0</w:t>
            </w:r>
          </w:p>
        </w:tc>
        <w:tc>
          <w:tcPr>
            <w:tcW w:w="3968" w:type="dxa"/>
            <w:gridSpan w:val="2"/>
            <w:tcBorders>
              <w:top w:val="single" w:color="auto" w:sz="4" w:space="0"/>
              <w:left w:val="nil"/>
              <w:bottom w:val="single" w:color="auto" w:sz="4" w:space="0"/>
              <w:right w:val="single" w:color="000000" w:sz="4" w:space="0"/>
            </w:tcBorders>
            <w:noWrap/>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sz w:val="24"/>
                <w:szCs w:val="28"/>
                <w:lang w:val="en-US" w:eastAsia="zh-CN"/>
              </w:rPr>
            </w:pPr>
            <w:r>
              <w:rPr>
                <w:rFonts w:hint="default"/>
                <w:sz w:val="24"/>
                <w:szCs w:val="28"/>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三、收到和处理政府信息公开申请情况</w:t>
      </w:r>
    </w:p>
    <w:tbl>
      <w:tblPr>
        <w:tblStyle w:val="4"/>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
        <w:gridCol w:w="855"/>
        <w:gridCol w:w="2522"/>
        <w:gridCol w:w="619"/>
        <w:gridCol w:w="636"/>
        <w:gridCol w:w="651"/>
        <w:gridCol w:w="932"/>
        <w:gridCol w:w="844"/>
        <w:gridCol w:w="757"/>
        <w:gridCol w:w="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697"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（本列数据的勾稽关系为：第一项加第二项之和，等于第三项加第四项之和）</w:t>
            </w:r>
          </w:p>
        </w:tc>
        <w:tc>
          <w:tcPr>
            <w:tcW w:w="5062" w:type="dxa"/>
            <w:gridSpan w:val="7"/>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697"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default"/>
                <w:sz w:val="18"/>
                <w:szCs w:val="20"/>
              </w:rPr>
            </w:pPr>
          </w:p>
        </w:tc>
        <w:tc>
          <w:tcPr>
            <w:tcW w:w="619"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自然人</w:t>
            </w:r>
          </w:p>
        </w:tc>
        <w:tc>
          <w:tcPr>
            <w:tcW w:w="3820" w:type="dxa"/>
            <w:gridSpan w:val="5"/>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法人或其他组织</w:t>
            </w:r>
          </w:p>
        </w:tc>
        <w:tc>
          <w:tcPr>
            <w:tcW w:w="623" w:type="dxa"/>
            <w:vMerge w:val="restart"/>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697" w:type="dxa"/>
            <w:gridSpan w:val="3"/>
            <w:vMerge w:val="continue"/>
            <w:tcBorders>
              <w:top w:val="single" w:color="auto" w:sz="4" w:space="0"/>
              <w:left w:val="single" w:color="auto" w:sz="4" w:space="0"/>
              <w:bottom w:val="single" w:color="auto" w:sz="4" w:space="0"/>
              <w:right w:val="single" w:color="auto" w:sz="4" w:space="0"/>
            </w:tcBorders>
            <w:vAlign w:val="center"/>
          </w:tcPr>
          <w:p>
            <w:pPr>
              <w:rPr>
                <w:rFonts w:hint="default"/>
                <w:sz w:val="18"/>
                <w:szCs w:val="20"/>
              </w:rPr>
            </w:pPr>
          </w:p>
        </w:tc>
        <w:tc>
          <w:tcPr>
            <w:tcW w:w="619" w:type="dxa"/>
            <w:vMerge w:val="continue"/>
            <w:tcBorders>
              <w:top w:val="nil"/>
              <w:left w:val="nil"/>
              <w:bottom w:val="single" w:color="auto" w:sz="4" w:space="0"/>
              <w:right w:val="single" w:color="auto" w:sz="4" w:space="0"/>
            </w:tcBorders>
            <w:vAlign w:val="center"/>
          </w:tcPr>
          <w:p>
            <w:pPr>
              <w:rPr>
                <w:rFonts w:hint="default"/>
                <w:sz w:val="18"/>
                <w:szCs w:val="20"/>
              </w:rPr>
            </w:pPr>
          </w:p>
        </w:tc>
        <w:tc>
          <w:tcPr>
            <w:tcW w:w="63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商业企业</w:t>
            </w:r>
          </w:p>
        </w:tc>
        <w:tc>
          <w:tcPr>
            <w:tcW w:w="651"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科研机构</w:t>
            </w:r>
          </w:p>
        </w:tc>
        <w:tc>
          <w:tcPr>
            <w:tcW w:w="93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社会公益组织</w:t>
            </w:r>
          </w:p>
        </w:tc>
        <w:tc>
          <w:tcPr>
            <w:tcW w:w="844"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法律服务机构</w:t>
            </w:r>
          </w:p>
        </w:tc>
        <w:tc>
          <w:tcPr>
            <w:tcW w:w="757"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其他</w:t>
            </w:r>
          </w:p>
        </w:tc>
        <w:tc>
          <w:tcPr>
            <w:tcW w:w="623" w:type="dxa"/>
            <w:vMerge w:val="continue"/>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6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一、本年新收政府信息公开申请数量</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6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二、上年结转政府信息公开申请数量</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restart"/>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三、本年度办理结果</w:t>
            </w:r>
          </w:p>
        </w:tc>
        <w:tc>
          <w:tcPr>
            <w:tcW w:w="33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（一）予以公开</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33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（二）部分公开（区分处理的，只计这一情形，不计其他情形）</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（三）不予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公开</w:t>
            </w: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1.属于国家秘密</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2.其他法律行政法规禁止公开</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3.危及“三安全一稳定”</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4.保护第三方合法权益</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5.属于三类内部事务信息</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6.属于四类过程性信息</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7.属于行政执法案卷</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8.属于行政查询事项</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（四）无法</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提供</w:t>
            </w: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1.本机关不掌握相关政府信息</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2.没有现成信息需要另行制作</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3.补正后申请内容仍不明确</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restart"/>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（五）不予</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黑体" w:hAnsi="黑体" w:eastAsia="黑体" w:cs="黑体"/>
                <w:sz w:val="21"/>
                <w:szCs w:val="22"/>
              </w:rPr>
            </w:pPr>
            <w:r>
              <w:rPr>
                <w:rFonts w:hint="default" w:ascii="黑体" w:hAnsi="黑体" w:eastAsia="黑体" w:cs="黑体"/>
                <w:sz w:val="21"/>
                <w:szCs w:val="22"/>
              </w:rPr>
              <w:t>处理</w:t>
            </w: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1.信访举报投诉类申请</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2.重复申请</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3.要求提供公开出版物</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4.无正当理由大量反复申请</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855" w:type="dxa"/>
            <w:vMerge w:val="continue"/>
            <w:tcBorders>
              <w:top w:val="nil"/>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2522"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5.要求行政机关确认或重新出具已获取信息</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33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（六）其他处理</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320"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p>
        </w:tc>
        <w:tc>
          <w:tcPr>
            <w:tcW w:w="3377"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（七）总计</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3697"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黑体" w:hAnsi="黑体" w:eastAsia="黑体" w:cs="黑体"/>
                <w:sz w:val="21"/>
                <w:szCs w:val="22"/>
              </w:rPr>
            </w:pPr>
            <w:r>
              <w:rPr>
                <w:rFonts w:hint="default" w:ascii="黑体" w:hAnsi="黑体" w:eastAsia="黑体" w:cs="黑体"/>
                <w:sz w:val="21"/>
                <w:szCs w:val="22"/>
              </w:rPr>
              <w:t>四、结转下年度继续办理</w:t>
            </w:r>
          </w:p>
        </w:tc>
        <w:tc>
          <w:tcPr>
            <w:tcW w:w="619"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36"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651"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932"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rPr>
              <w:t> </w:t>
            </w:r>
            <w:r>
              <w:rPr>
                <w:rFonts w:hint="default"/>
                <w:sz w:val="18"/>
                <w:szCs w:val="20"/>
                <w:lang w:val="en-US" w:eastAsia="zh-CN"/>
              </w:rPr>
              <w:t>0</w:t>
            </w:r>
          </w:p>
        </w:tc>
        <w:tc>
          <w:tcPr>
            <w:tcW w:w="844"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757" w:type="dxa"/>
            <w:tcBorders>
              <w:top w:val="single" w:color="auto" w:sz="4" w:space="0"/>
              <w:left w:val="nil"/>
              <w:bottom w:val="single" w:color="auto" w:sz="4" w:space="0"/>
              <w:right w:val="single" w:color="auto" w:sz="4" w:space="0"/>
            </w:tcBorders>
            <w:vAlign w:val="center"/>
          </w:tcPr>
          <w:p>
            <w:pPr>
              <w:rPr>
                <w:rFonts w:hint="default"/>
                <w:sz w:val="18"/>
                <w:szCs w:val="20"/>
              </w:rPr>
            </w:pPr>
            <w:r>
              <w:rPr>
                <w:rFonts w:hint="default"/>
                <w:sz w:val="18"/>
                <w:szCs w:val="20"/>
                <w:lang w:val="en-US" w:eastAsia="zh-CN"/>
              </w:rPr>
              <w:t>0</w:t>
            </w:r>
            <w:r>
              <w:rPr>
                <w:rFonts w:hint="default"/>
                <w:sz w:val="18"/>
                <w:szCs w:val="20"/>
              </w:rPr>
              <w:t> </w:t>
            </w:r>
          </w:p>
        </w:tc>
        <w:tc>
          <w:tcPr>
            <w:tcW w:w="623" w:type="dxa"/>
            <w:tcBorders>
              <w:top w:val="single" w:color="auto" w:sz="4" w:space="0"/>
              <w:left w:val="nil"/>
              <w:bottom w:val="single" w:color="auto" w:sz="4" w:space="0"/>
              <w:right w:val="single" w:color="auto" w:sz="4" w:space="0"/>
            </w:tcBorders>
            <w:vAlign w:val="center"/>
          </w:tcPr>
          <w:p>
            <w:pPr>
              <w:rPr>
                <w:rFonts w:hint="default"/>
                <w:sz w:val="18"/>
                <w:szCs w:val="20"/>
                <w:lang w:val="en-US" w:eastAsia="zh-CN"/>
              </w:rPr>
            </w:pPr>
            <w:r>
              <w:rPr>
                <w:rFonts w:hint="default"/>
                <w:sz w:val="18"/>
                <w:szCs w:val="20"/>
                <w:lang w:val="en-US" w:eastAsia="zh-CN"/>
              </w:rPr>
              <w:t>0</w:t>
            </w:r>
          </w:p>
        </w:tc>
      </w:tr>
    </w:tbl>
    <w:p>
      <w:pPr>
        <w:rPr>
          <w:rFonts w:hint="default"/>
        </w:rPr>
        <w:sectPr>
          <w:pgSz w:w="11906" w:h="16838"/>
          <w:pgMar w:top="1871" w:right="1587" w:bottom="1871" w:left="1587" w:header="851" w:footer="992" w:gutter="0"/>
          <w:cols w:space="425" w:num="1"/>
          <w:docGrid w:type="linesAndChars" w:linePitch="312" w:charSpace="0"/>
        </w:sect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8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434"/>
        <w:gridCol w:w="524"/>
        <w:gridCol w:w="541"/>
        <w:gridCol w:w="579"/>
        <w:gridCol w:w="575"/>
        <w:gridCol w:w="575"/>
        <w:gridCol w:w="626"/>
        <w:gridCol w:w="694"/>
        <w:gridCol w:w="645"/>
        <w:gridCol w:w="643"/>
        <w:gridCol w:w="659"/>
        <w:gridCol w:w="626"/>
        <w:gridCol w:w="643"/>
        <w:gridCol w:w="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266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行政复议</w:t>
            </w:r>
          </w:p>
        </w:tc>
        <w:tc>
          <w:tcPr>
            <w:tcW w:w="6319" w:type="dxa"/>
            <w:gridSpan w:val="10"/>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82" w:type="dxa"/>
            <w:vMerge w:val="restart"/>
            <w:tcBorders>
              <w:top w:val="nil"/>
              <w:left w:val="single" w:color="auto" w:sz="4" w:space="0"/>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结果</w:t>
            </w:r>
          </w:p>
          <w:p>
            <w:pPr>
              <w:rPr>
                <w:rFonts w:hint="eastAsia" w:ascii="黑体" w:hAnsi="黑体" w:eastAsia="黑体" w:cs="黑体"/>
              </w:rPr>
            </w:pPr>
            <w:r>
              <w:rPr>
                <w:rFonts w:hint="eastAsia" w:ascii="黑体" w:hAnsi="黑体" w:eastAsia="黑体" w:cs="黑体"/>
              </w:rPr>
              <w:t>维持</w:t>
            </w:r>
          </w:p>
        </w:tc>
        <w:tc>
          <w:tcPr>
            <w:tcW w:w="434" w:type="dxa"/>
            <w:vMerge w:val="restart"/>
            <w:tcBorders>
              <w:top w:val="nil"/>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结果纠正</w:t>
            </w:r>
          </w:p>
        </w:tc>
        <w:tc>
          <w:tcPr>
            <w:tcW w:w="524" w:type="dxa"/>
            <w:vMerge w:val="restart"/>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其他结果</w:t>
            </w:r>
          </w:p>
        </w:tc>
        <w:tc>
          <w:tcPr>
            <w:tcW w:w="541" w:type="dxa"/>
            <w:vMerge w:val="restart"/>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尚未审结</w:t>
            </w:r>
          </w:p>
        </w:tc>
        <w:tc>
          <w:tcPr>
            <w:tcW w:w="579" w:type="dxa"/>
            <w:vMerge w:val="restart"/>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总计</w:t>
            </w:r>
          </w:p>
        </w:tc>
        <w:tc>
          <w:tcPr>
            <w:tcW w:w="3115" w:type="dxa"/>
            <w:gridSpan w:val="5"/>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未经复议直接起诉</w:t>
            </w:r>
          </w:p>
        </w:tc>
        <w:tc>
          <w:tcPr>
            <w:tcW w:w="3204" w:type="dxa"/>
            <w:gridSpan w:val="5"/>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582" w:type="dxa"/>
            <w:vMerge w:val="continue"/>
            <w:tcBorders>
              <w:top w:val="nil"/>
              <w:left w:val="single" w:color="auto" w:sz="4" w:space="0"/>
              <w:bottom w:val="single" w:color="auto" w:sz="4" w:space="0"/>
              <w:right w:val="single" w:color="auto" w:sz="4" w:space="0"/>
            </w:tcBorders>
            <w:vAlign w:val="center"/>
          </w:tcPr>
          <w:p>
            <w:pPr>
              <w:rPr>
                <w:rFonts w:hint="eastAsia" w:ascii="黑体" w:hAnsi="黑体" w:eastAsia="黑体" w:cs="黑体"/>
              </w:rPr>
            </w:pPr>
          </w:p>
        </w:tc>
        <w:tc>
          <w:tcPr>
            <w:tcW w:w="434" w:type="dxa"/>
            <w:vMerge w:val="continue"/>
            <w:tcBorders>
              <w:top w:val="nil"/>
              <w:left w:val="nil"/>
              <w:bottom w:val="single" w:color="auto" w:sz="4" w:space="0"/>
              <w:right w:val="single" w:color="auto" w:sz="4" w:space="0"/>
            </w:tcBorders>
            <w:vAlign w:val="center"/>
          </w:tcPr>
          <w:p>
            <w:pPr>
              <w:rPr>
                <w:rFonts w:hint="eastAsia" w:ascii="黑体" w:hAnsi="黑体" w:eastAsia="黑体" w:cs="黑体"/>
              </w:rPr>
            </w:pPr>
          </w:p>
        </w:tc>
        <w:tc>
          <w:tcPr>
            <w:tcW w:w="524" w:type="dxa"/>
            <w:vMerge w:val="continue"/>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p>
        </w:tc>
        <w:tc>
          <w:tcPr>
            <w:tcW w:w="541" w:type="dxa"/>
            <w:vMerge w:val="continue"/>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p>
        </w:tc>
        <w:tc>
          <w:tcPr>
            <w:tcW w:w="579" w:type="dxa"/>
            <w:vMerge w:val="continue"/>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p>
        </w:tc>
        <w:tc>
          <w:tcPr>
            <w:tcW w:w="575"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结果维持</w:t>
            </w:r>
          </w:p>
        </w:tc>
        <w:tc>
          <w:tcPr>
            <w:tcW w:w="575"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结果纠正</w:t>
            </w:r>
          </w:p>
        </w:tc>
        <w:tc>
          <w:tcPr>
            <w:tcW w:w="626"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其他结果</w:t>
            </w:r>
          </w:p>
        </w:tc>
        <w:tc>
          <w:tcPr>
            <w:tcW w:w="694"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尚未审结</w:t>
            </w:r>
          </w:p>
        </w:tc>
        <w:tc>
          <w:tcPr>
            <w:tcW w:w="645"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总计</w:t>
            </w:r>
          </w:p>
        </w:tc>
        <w:tc>
          <w:tcPr>
            <w:tcW w:w="643"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结果维持</w:t>
            </w:r>
          </w:p>
        </w:tc>
        <w:tc>
          <w:tcPr>
            <w:tcW w:w="659"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结果纠正</w:t>
            </w:r>
          </w:p>
        </w:tc>
        <w:tc>
          <w:tcPr>
            <w:tcW w:w="626"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其他结果</w:t>
            </w:r>
          </w:p>
        </w:tc>
        <w:tc>
          <w:tcPr>
            <w:tcW w:w="643"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尚未审结</w:t>
            </w:r>
          </w:p>
        </w:tc>
        <w:tc>
          <w:tcPr>
            <w:tcW w:w="633" w:type="dxa"/>
            <w:tcBorders>
              <w:top w:val="single" w:color="auto" w:sz="4" w:space="0"/>
              <w:left w:val="nil"/>
              <w:bottom w:val="single" w:color="auto" w:sz="4" w:space="0"/>
              <w:right w:val="single" w:color="auto" w:sz="4" w:space="0"/>
            </w:tcBorders>
            <w:vAlign w:val="center"/>
          </w:tcPr>
          <w:p>
            <w:pPr>
              <w:rPr>
                <w:rFonts w:hint="eastAsia" w:ascii="黑体" w:hAnsi="黑体" w:eastAsia="黑体" w:cs="黑体"/>
              </w:rPr>
            </w:pPr>
            <w:r>
              <w:rPr>
                <w:rFonts w:hint="eastAsia" w:ascii="黑体" w:hAnsi="黑体" w:eastAsia="黑体" w:cs="黑体"/>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582" w:type="dxa"/>
            <w:tcBorders>
              <w:top w:val="single" w:color="auto" w:sz="4" w:space="0"/>
              <w:left w:val="single" w:color="auto" w:sz="4" w:space="0"/>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434" w:type="dxa"/>
            <w:tcBorders>
              <w:top w:val="single" w:color="auto" w:sz="4" w:space="0"/>
              <w:left w:val="nil"/>
              <w:bottom w:val="single" w:color="auto" w:sz="4" w:space="0"/>
              <w:right w:val="single" w:color="auto" w:sz="4" w:space="0"/>
            </w:tcBorders>
            <w:vAlign w:val="center"/>
          </w:tcPr>
          <w:p>
            <w:pPr>
              <w:rPr>
                <w:rFonts w:hint="default"/>
              </w:rPr>
            </w:pPr>
            <w:r>
              <w:rPr>
                <w:rFonts w:hint="default"/>
                <w:lang w:val="en-US" w:eastAsia="zh-CN"/>
              </w:rPr>
              <w:t>0</w:t>
            </w:r>
          </w:p>
        </w:tc>
        <w:tc>
          <w:tcPr>
            <w:tcW w:w="524" w:type="dxa"/>
            <w:tcBorders>
              <w:top w:val="single" w:color="auto" w:sz="4" w:space="0"/>
              <w:left w:val="nil"/>
              <w:bottom w:val="single" w:color="auto" w:sz="4" w:space="0"/>
              <w:right w:val="single" w:color="auto" w:sz="4" w:space="0"/>
            </w:tcBorders>
            <w:vAlign w:val="center"/>
          </w:tcPr>
          <w:p>
            <w:pPr>
              <w:rPr>
                <w:rFonts w:hint="default"/>
              </w:rPr>
            </w:pPr>
            <w:r>
              <w:rPr>
                <w:rFonts w:hint="default"/>
                <w:lang w:val="en-US" w:eastAsia="zh-CN"/>
              </w:rPr>
              <w:t>0</w:t>
            </w:r>
          </w:p>
        </w:tc>
        <w:tc>
          <w:tcPr>
            <w:tcW w:w="541"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579"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575"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575"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626" w:type="dxa"/>
            <w:tcBorders>
              <w:top w:val="single" w:color="auto" w:sz="4" w:space="0"/>
              <w:left w:val="nil"/>
              <w:bottom w:val="single" w:color="auto" w:sz="4" w:space="0"/>
              <w:right w:val="single" w:color="auto" w:sz="4" w:space="0"/>
            </w:tcBorders>
            <w:vAlign w:val="center"/>
          </w:tcPr>
          <w:p>
            <w:pPr>
              <w:rPr>
                <w:rFonts w:hint="default"/>
              </w:rPr>
            </w:pPr>
            <w:r>
              <w:rPr>
                <w:rFonts w:hint="default"/>
                <w:lang w:val="en-US" w:eastAsia="zh-CN"/>
              </w:rPr>
              <w:t>0</w:t>
            </w:r>
          </w:p>
        </w:tc>
        <w:tc>
          <w:tcPr>
            <w:tcW w:w="694"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645"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643"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659"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626" w:type="dxa"/>
            <w:tcBorders>
              <w:top w:val="single" w:color="auto" w:sz="4" w:space="0"/>
              <w:left w:val="nil"/>
              <w:bottom w:val="single" w:color="auto" w:sz="4" w:space="0"/>
              <w:right w:val="single" w:color="auto" w:sz="4" w:space="0"/>
            </w:tcBorders>
            <w:vAlign w:val="center"/>
          </w:tcPr>
          <w:p>
            <w:pPr>
              <w:rPr>
                <w:rFonts w:hint="default"/>
              </w:rPr>
            </w:pPr>
            <w:r>
              <w:rPr>
                <w:rFonts w:hint="default"/>
                <w:lang w:val="en-US" w:eastAsia="zh-CN"/>
              </w:rPr>
              <w:t>0</w:t>
            </w:r>
          </w:p>
        </w:tc>
        <w:tc>
          <w:tcPr>
            <w:tcW w:w="643"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c>
          <w:tcPr>
            <w:tcW w:w="633" w:type="dxa"/>
            <w:tcBorders>
              <w:top w:val="single" w:color="auto" w:sz="4" w:space="0"/>
              <w:left w:val="nil"/>
              <w:bottom w:val="single" w:color="auto" w:sz="4" w:space="0"/>
              <w:right w:val="single" w:color="auto" w:sz="4" w:space="0"/>
            </w:tcBorders>
            <w:vAlign w:val="center"/>
          </w:tcPr>
          <w:p>
            <w:pPr>
              <w:rPr>
                <w:rFonts w:hint="default"/>
                <w:lang w:val="en-US" w:eastAsia="zh-CN"/>
              </w:rPr>
            </w:pPr>
            <w:r>
              <w:rPr>
                <w:rFonts w:hint="default"/>
                <w:lang w:val="en-US" w:eastAsia="zh-CN"/>
              </w:rPr>
              <w:t>0</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五、存在的主要问题及改进情况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信息公开的内容有待进一步完善，主动公开范围需要进一步放宽。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（二）具体的改进措施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1.加强认识，努力规范工作流程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我单位将按照县政府“公开为原则，不公开为例外”的总体要求，进一步梳理本单位所掌握的政府信息，及时更新公开信息，确保政府公开工作能有效运作，保证公众便利查询。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2.仔细梳理，循序扩大公开范围。进一步归纳整理政府信息对原有政府信息公开目录进行补充完善，保证公开信息的完整性和准确性。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3.与时俱进，确保信息公开及时有效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我单位将虚心接受公众建议，不断升级完善信息公开的反馈渠道，确保信息公开的时效性。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rPr>
      </w:pPr>
      <w:r>
        <w:rPr>
          <w:rFonts w:hint="default"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80" w:lineRule="exact"/>
        <w:ind w:firstLine="420" w:firstLineChars="200"/>
        <w:textAlignment w:val="auto"/>
        <w:rPr>
          <w:rFonts w:hint="default"/>
          <w:lang w:val="en-US" w:eastAsia="zh-CN"/>
        </w:rPr>
      </w:pPr>
    </w:p>
    <w:sectPr>
      <w:pgSz w:w="11906" w:h="16838"/>
      <w:pgMar w:top="1871" w:right="1588"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30E46"/>
    <w:rsid w:val="00072CBF"/>
    <w:rsid w:val="00330E46"/>
    <w:rsid w:val="0068307F"/>
    <w:rsid w:val="007B0D39"/>
    <w:rsid w:val="00AE777C"/>
    <w:rsid w:val="05B454F9"/>
    <w:rsid w:val="09482896"/>
    <w:rsid w:val="09DC26D0"/>
    <w:rsid w:val="12FA77E0"/>
    <w:rsid w:val="14AE6EA0"/>
    <w:rsid w:val="1AA468B4"/>
    <w:rsid w:val="1F705802"/>
    <w:rsid w:val="336D39B9"/>
    <w:rsid w:val="37B510D2"/>
    <w:rsid w:val="410A515B"/>
    <w:rsid w:val="449F2222"/>
    <w:rsid w:val="489A2348"/>
    <w:rsid w:val="619828A6"/>
    <w:rsid w:val="63BA4EC4"/>
    <w:rsid w:val="6E6353DA"/>
    <w:rsid w:val="74EF2F3B"/>
    <w:rsid w:val="79332FE1"/>
    <w:rsid w:val="7CEB02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b/>
      <w:color w:val="FF0000"/>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56</Words>
  <Characters>320</Characters>
  <Lines>2</Lines>
  <Paragraphs>1</Paragraphs>
  <TotalTime>9</TotalTime>
  <ScaleCrop>false</ScaleCrop>
  <LinksUpToDate>false</LinksUpToDate>
  <CharactersWithSpaces>375</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2021-01-19T00:32:00Z</dcterms:created>
  <dc:creator>lenovo</dc:creator>
  <cp:lastModifiedBy>小娪嬭</cp:lastModifiedBy>
  <dcterms:modified xsi:type="dcterms:W3CDTF">2021-01-25T07:53:45Z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