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3F44D">
      <w:pPr>
        <w:keepNext w:val="0"/>
        <w:keepLines w:val="0"/>
        <w:pageBreakBefore w:val="0"/>
        <w:widowControl w:val="0"/>
        <w:kinsoku/>
        <w:wordWrap/>
        <w:overflowPunct/>
        <w:topLinePunct w:val="0"/>
        <w:autoSpaceDE w:val="0"/>
        <w:autoSpaceDN w:val="0"/>
        <w:bidi w:val="0"/>
        <w:snapToGrid w:val="0"/>
        <w:spacing w:after="312" w:afterLines="100" w:line="560" w:lineRule="exact"/>
        <w:ind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高青县</w:t>
      </w:r>
      <w:r>
        <w:rPr>
          <w:rFonts w:hint="eastAsia" w:ascii="方正小标宋简体" w:hAnsi="方正小标宋简体" w:eastAsia="方正小标宋简体" w:cs="方正小标宋简体"/>
          <w:b w:val="0"/>
          <w:bCs w:val="0"/>
          <w:sz w:val="44"/>
          <w:szCs w:val="44"/>
          <w:lang w:val="en-US" w:eastAsia="zh-CN"/>
        </w:rPr>
        <w:t>唐坊镇</w:t>
      </w:r>
      <w:r>
        <w:rPr>
          <w:rFonts w:hint="default" w:ascii="Times New Roman" w:hAnsi="Times New Roman" w:eastAsia="方正小标宋简体" w:cs="Times New Roman"/>
          <w:b w:val="0"/>
          <w:bCs w:val="0"/>
          <w:sz w:val="44"/>
          <w:szCs w:val="44"/>
          <w:lang w:val="en-US" w:eastAsia="zh-CN"/>
        </w:rPr>
        <w:t>人民政府</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年政府信</w:t>
      </w:r>
      <w:r>
        <w:rPr>
          <w:rFonts w:hint="eastAsia" w:ascii="方正小标宋简体" w:hAnsi="方正小标宋简体" w:eastAsia="方正小标宋简体" w:cs="方正小标宋简体"/>
          <w:b w:val="0"/>
          <w:bCs w:val="0"/>
          <w:sz w:val="44"/>
          <w:szCs w:val="44"/>
        </w:rPr>
        <w:t>息公开工作年度报告</w:t>
      </w:r>
    </w:p>
    <w:p w14:paraId="606572F9">
      <w:pPr>
        <w:keepNext w:val="0"/>
        <w:keepLines w:val="0"/>
        <w:pageBreakBefore w:val="0"/>
        <w:widowControl w:val="0"/>
        <w:kinsoku/>
        <w:wordWrap/>
        <w:overflowPunct/>
        <w:topLinePunct w:val="0"/>
        <w:autoSpaceDE w:val="0"/>
        <w:autoSpaceDN w:val="0"/>
        <w:bidi w:val="0"/>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本报告根据《中华人民共和国政府信息公开条例》（国务院令第711号，以下简称《条例》）</w:t>
      </w:r>
      <w:r>
        <w:rPr>
          <w:rFonts w:hint="eastAsia" w:ascii="仿宋_GB2312" w:hAnsi="仿宋_GB2312" w:eastAsia="仿宋_GB2312" w:cs="仿宋_GB2312"/>
          <w:szCs w:val="32"/>
        </w:rPr>
        <w:t>和《国务院办公厅政府信息与政务公开办公室关于印发&lt;中华人民共和国政府信息公开工作年度报告格式&gt;的通知》（国办公开办函〔2021〕30号）相关要求编制</w:t>
      </w:r>
      <w:r>
        <w:rPr>
          <w:rFonts w:hint="eastAsia" w:ascii="仿宋_GB2312" w:hAnsi="仿宋_GB2312" w:eastAsia="仿宋_GB2312" w:cs="仿宋_GB2312"/>
        </w:rPr>
        <w:t>。报告全文分总体情况、主动公开政府信息情况、收到和处理政府信息公开申请情况、政府信息公开行政复议和行政诉讼情况、存在的主要问题及改进情况、其他需要报告的事项六个部分。</w:t>
      </w:r>
    </w:p>
    <w:p w14:paraId="55007D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报告中所列数据统计期限自202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年1月1日始，至202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年12月31日止。报告电子版可在高青县人民政府门户网站（www.gaoqing.gov.cn）查阅和下载。如对报告内容有疑问，请与高青县</w:t>
      </w:r>
      <w:r>
        <w:rPr>
          <w:rFonts w:hint="eastAsia" w:ascii="仿宋_GB2312" w:hAnsi="仿宋_GB2312" w:eastAsia="仿宋_GB2312" w:cs="仿宋_GB2312"/>
          <w:lang w:val="en-US" w:eastAsia="zh-CN"/>
        </w:rPr>
        <w:t>唐坊镇人民政府党政办公室联系（</w:t>
      </w:r>
      <w:r>
        <w:rPr>
          <w:rFonts w:hint="eastAsia" w:ascii="仿宋_GB2312" w:hAnsi="仿宋_GB2312" w:eastAsia="仿宋_GB2312" w:cs="仿宋_GB2312"/>
        </w:rPr>
        <w:t>地址：山东省淄博市高青县</w:t>
      </w:r>
      <w:r>
        <w:rPr>
          <w:rFonts w:hint="eastAsia" w:ascii="仿宋_GB2312" w:hAnsi="仿宋_GB2312" w:eastAsia="仿宋_GB2312" w:cs="仿宋_GB2312"/>
          <w:lang w:val="en-US" w:eastAsia="zh-CN"/>
        </w:rPr>
        <w:t>唐坊镇唐坊村</w:t>
      </w:r>
      <w:r>
        <w:rPr>
          <w:rFonts w:hint="eastAsia" w:ascii="仿宋_GB2312" w:hAnsi="仿宋_GB2312" w:eastAsia="仿宋_GB2312" w:cs="仿宋_GB2312"/>
        </w:rPr>
        <w:t>；</w:t>
      </w:r>
      <w:r>
        <w:rPr>
          <w:rFonts w:hint="eastAsia" w:ascii="仿宋_GB2312" w:hAnsi="仿宋_GB2312" w:eastAsia="仿宋_GB2312" w:cs="仿宋_GB2312"/>
          <w:lang w:val="en-US" w:eastAsia="zh-CN"/>
        </w:rPr>
        <w:t>邮编：256302；电话：0533-6355730；传真：0533-6355704；邮箱：gqxtfz@zb.shandong.cn）。</w:t>
      </w:r>
    </w:p>
    <w:p w14:paraId="1AA9F8D5">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4380FD59">
      <w:pPr>
        <w:keepNext w:val="0"/>
        <w:keepLines w:val="0"/>
        <w:widowControl w:val="0"/>
        <w:suppressLineNumbers w:val="0"/>
        <w:autoSpaceDE w:val="0"/>
        <w:autoSpaceDN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年，高青县</w:t>
      </w:r>
      <w:r>
        <w:rPr>
          <w:rFonts w:hint="eastAsia" w:ascii="仿宋_GB2312" w:hAnsi="仿宋_GB2312" w:eastAsia="仿宋_GB2312" w:cs="仿宋_GB2312"/>
          <w:szCs w:val="32"/>
          <w:lang w:val="en-US" w:eastAsia="zh-CN"/>
        </w:rPr>
        <w:t>唐坊镇</w:t>
      </w:r>
      <w:r>
        <w:rPr>
          <w:rFonts w:hint="eastAsia" w:ascii="仿宋_GB2312" w:hAnsi="仿宋_GB2312" w:eastAsia="仿宋_GB2312" w:cs="仿宋_GB2312"/>
          <w:szCs w:val="32"/>
        </w:rPr>
        <w:t>坚持以习近平新时代中国特色社会主义思想为指导，认真落实国家和省市县政务公开工作部署，</w:t>
      </w:r>
      <w:r>
        <w:rPr>
          <w:rFonts w:hint="eastAsia" w:ascii="仿宋_GB2312" w:hAnsi="仿宋_GB2312" w:eastAsia="仿宋_GB2312" w:cs="仿宋_GB2312"/>
          <w:szCs w:val="32"/>
          <w:lang w:val="en-US" w:eastAsia="zh-CN"/>
        </w:rPr>
        <w:t>围绕省、市、县政务公开工作要求，以提升透明度和服务效能为目标，持续深化政务公开标准化规范化建设。</w:t>
      </w:r>
    </w:p>
    <w:p w14:paraId="6CF7FEE1">
      <w:pPr>
        <w:spacing w:line="600" w:lineRule="exact"/>
        <w:jc w:val="left"/>
        <w:rPr>
          <w:rFonts w:hint="default" w:ascii="仿宋_GB2312" w:eastAsia="仿宋_GB2312"/>
          <w:szCs w:val="32"/>
          <w:lang w:val="en-US" w:eastAsia="zh-CN"/>
        </w:rPr>
      </w:pPr>
      <w:r>
        <w:rPr>
          <w:rFonts w:hint="default" w:ascii="楷体_GB2312" w:eastAsia="楷体_GB2312"/>
          <w:lang w:val="en-US" w:eastAsia="zh-CN"/>
        </w:rPr>
        <w:t>（一）主动公开</w:t>
      </w:r>
    </w:p>
    <w:p w14:paraId="2B4A5C78">
      <w:pPr>
        <w:keepNext w:val="0"/>
        <w:keepLines w:val="0"/>
        <w:widowControl w:val="0"/>
        <w:suppressLineNumbers w:val="0"/>
        <w:autoSpaceDE w:val="0"/>
        <w:autoSpaceDN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szCs w:val="32"/>
          <w:highlight w:val="yellow"/>
          <w:lang w:val="en-US" w:eastAsia="zh-CN"/>
        </w:rPr>
      </w:pPr>
      <w:r>
        <w:rPr>
          <w:rFonts w:hint="eastAsia" w:ascii="仿宋_GB2312" w:hAnsi="仿宋_GB2312" w:eastAsia="仿宋_GB2312" w:cs="仿宋_GB2312"/>
          <w:szCs w:val="32"/>
          <w:highlight w:val="none"/>
          <w:lang w:val="en-US" w:eastAsia="zh-CN"/>
        </w:rPr>
        <w:t>2025年制定《高青县唐坊镇政务公开工作细则》，健全信息发布时限与流程，有效推动各项公开任务落实落地。全年累计主动公开政府信息428条，较上年增长6.2％。其中，聚焦乡村振兴、民生保障领域，加大公开力度，发布相关信息20余条。进一步完善政策解读机制，将解读材料撰写与政策文件审签流程同步实施，年内共发布解读材料3篇。同时，积极畅通群众联系渠道，依托12345政务服务便民热线，全年受理并回应群众诉求700余件，群众满意率达85.6%，切实提升了公众参与感和获得感。</w:t>
      </w:r>
    </w:p>
    <w:p w14:paraId="3A9C4606">
      <w:pPr>
        <w:keepNext w:val="0"/>
        <w:keepLines w:val="0"/>
        <w:widowControl w:val="0"/>
        <w:suppressLineNumbers w:val="0"/>
        <w:autoSpaceDE w:val="0"/>
        <w:autoSpaceDN w:val="0"/>
        <w:snapToGrid w:val="0"/>
        <w:spacing w:before="0" w:beforeAutospacing="0" w:after="0" w:afterAutospacing="0" w:line="560" w:lineRule="exact"/>
        <w:ind w:left="0" w:right="0" w:firstLine="640" w:firstLineChars="200"/>
        <w:jc w:val="both"/>
        <w:rPr>
          <w:rFonts w:hint="eastAsia" w:ascii="仿宋_GB2312" w:eastAsia="仿宋_GB2312"/>
          <w:szCs w:val="32"/>
          <w:lang w:val="en-US" w:eastAsia="zh-CN"/>
        </w:rPr>
      </w:pPr>
    </w:p>
    <w:p w14:paraId="388542F5">
      <w:pPr>
        <w:keepNext w:val="0"/>
        <w:keepLines w:val="0"/>
        <w:widowControl/>
        <w:suppressLineNumbers w:val="0"/>
        <w:ind w:left="0" w:leftChars="0" w:firstLine="0" w:firstLineChars="0"/>
        <w:jc w:val="center"/>
        <w:rPr>
          <w:rFonts w:hint="eastAsia" w:eastAsia="方正仿宋_GBK"/>
          <w:highlight w:val="yellow"/>
          <w:lang w:eastAsia="zh-CN"/>
        </w:rPr>
      </w:pPr>
      <w:r>
        <w:rPr>
          <w:rFonts w:hint="eastAsia" w:eastAsia="方正仿宋_GBK"/>
          <w:highlight w:val="yellow"/>
          <w:lang w:eastAsia="zh-CN"/>
        </w:rPr>
        <w:drawing>
          <wp:inline distT="0" distB="0" distL="114300" distR="114300">
            <wp:extent cx="5961380" cy="3705860"/>
            <wp:effectExtent l="4445" t="5080" r="8255" b="7620"/>
            <wp:docPr id="1" name="图表 1"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sz w:val="32"/>
        </w:rPr>
        <mc:AlternateContent>
          <mc:Choice Requires="wps">
            <w:drawing>
              <wp:anchor distT="0" distB="0" distL="114300" distR="114300" simplePos="0" relativeHeight="251659264" behindDoc="0" locked="0" layoutInCell="1" allowOverlap="1">
                <wp:simplePos x="0" y="0"/>
                <wp:positionH relativeFrom="column">
                  <wp:posOffset>1057275</wp:posOffset>
                </wp:positionH>
                <wp:positionV relativeFrom="paragraph">
                  <wp:posOffset>55880</wp:posOffset>
                </wp:positionV>
                <wp:extent cx="4858385" cy="417195"/>
                <wp:effectExtent l="0" t="0" r="3175" b="9525"/>
                <wp:wrapNone/>
                <wp:docPr id="5" name="文本框 5"/>
                <wp:cNvGraphicFramePr/>
                <a:graphic xmlns:a="http://schemas.openxmlformats.org/drawingml/2006/main">
                  <a:graphicData uri="http://schemas.microsoft.com/office/word/2010/wordprocessingShape">
                    <wps:wsp>
                      <wps:cNvSpPr txBox="1"/>
                      <wps:spPr>
                        <a:xfrm>
                          <a:off x="2318385" y="5511165"/>
                          <a:ext cx="4858385" cy="417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9527E4">
                            <w:pPr>
                              <w:ind w:left="0" w:leftChars="0" w:firstLine="0" w:firstLineChars="0"/>
                              <w:jc w:val="both"/>
                              <w:rPr>
                                <w:sz w:val="24"/>
                                <w:szCs w:val="16"/>
                              </w:rPr>
                            </w:pPr>
                            <w:r>
                              <w:rPr>
                                <w:rFonts w:hint="eastAsia"/>
                                <w:color w:val="4874CB" w:themeColor="accent1"/>
                                <w:sz w:val="32"/>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2024和2025年政府网站信息公开数量对比图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25pt;margin-top:4.4pt;height:32.85pt;width:382.55pt;z-index:251659264;mso-width-relative:page;mso-height-relative:page;" fillcolor="#FFFFFF [3201]" filled="t" stroked="f" coordsize="21600,21600" o:gfxdata="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T0X5nTAAAA&#10;CAEAAA8AAAAAAAAAAQAgAAAAIgAAAGRycy9kb3ducmV2LnhtbFBLAQIUABQAAAAIAIdO4kAes8wQ&#10;WwIAAJsEAAAOAAAAAAAAAAEAIAAAACIBAABkcnMvZTJvRG9jLnhtbFBLBQYAAAAABgAGAFkBAADv&#10;BQAAAAA=&#10;">
                <v:fill on="t" focussize="0,0"/>
                <v:stroke on="f" weight="0.5pt"/>
                <v:imagedata o:title=""/>
                <o:lock v:ext="edit" aspectratio="f"/>
                <v:textbox>
                  <w:txbxContent>
                    <w:p w14:paraId="149527E4">
                      <w:pPr>
                        <w:ind w:left="0" w:leftChars="0" w:firstLine="0" w:firstLineChars="0"/>
                        <w:jc w:val="both"/>
                        <w:rPr>
                          <w:sz w:val="24"/>
                          <w:szCs w:val="16"/>
                        </w:rPr>
                      </w:pPr>
                      <w:r>
                        <w:rPr>
                          <w:rFonts w:hint="eastAsia"/>
                          <w:color w:val="4874CB" w:themeColor="accent1"/>
                          <w:sz w:val="32"/>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2024和2025年政府网站信息公开数量对比图</w:t>
                      </w:r>
                    </w:p>
                  </w:txbxContent>
                </v:textbox>
              </v:shape>
            </w:pict>
          </mc:Fallback>
        </mc:AlternateContent>
      </w:r>
    </w:p>
    <w:p w14:paraId="317811AD">
      <w:pPr>
        <w:keepNext w:val="0"/>
        <w:keepLines w:val="0"/>
        <w:widowControl w:val="0"/>
        <w:numPr>
          <w:ilvl w:val="0"/>
          <w:numId w:val="0"/>
        </w:numPr>
        <w:suppressLineNumbers w:val="0"/>
        <w:autoSpaceDE w:val="0"/>
        <w:autoSpaceDN w:val="0"/>
        <w:snapToGrid w:val="0"/>
        <w:spacing w:before="0" w:beforeAutospacing="0" w:after="0" w:afterAutospacing="0" w:line="560" w:lineRule="exact"/>
        <w:ind w:right="0" w:rightChars="0"/>
        <w:jc w:val="both"/>
        <w:rPr>
          <w:rFonts w:hint="default" w:ascii="仿宋_GB2312" w:eastAsia="仿宋_GB2312"/>
          <w:szCs w:val="32"/>
          <w:lang w:val="en-US" w:eastAsia="zh-CN"/>
        </w:rPr>
      </w:pPr>
    </w:p>
    <w:p w14:paraId="4E2B3F63">
      <w:pPr>
        <w:spacing w:line="600" w:lineRule="exact"/>
        <w:jc w:val="left"/>
        <w:rPr>
          <w:rFonts w:hint="eastAsia" w:ascii="楷体_GB2312" w:eastAsia="楷体_GB2312"/>
          <w:lang w:val="en-US" w:eastAsia="zh-CN"/>
        </w:rPr>
      </w:pPr>
      <w:r>
        <w:rPr>
          <w:rFonts w:hint="default" w:ascii="楷体_GB2312" w:eastAsia="楷体_GB2312"/>
          <w:lang w:val="en-US" w:eastAsia="zh-CN"/>
        </w:rPr>
        <w:t>（</w:t>
      </w:r>
      <w:r>
        <w:rPr>
          <w:rFonts w:hint="eastAsia" w:ascii="楷体_GB2312" w:eastAsia="楷体_GB2312"/>
          <w:lang w:val="en-US" w:eastAsia="zh-CN"/>
        </w:rPr>
        <w:t>二</w:t>
      </w:r>
      <w:r>
        <w:rPr>
          <w:rFonts w:hint="default" w:ascii="楷体_GB2312" w:eastAsia="楷体_GB2312"/>
          <w:lang w:val="en-US" w:eastAsia="zh-CN"/>
        </w:rPr>
        <w:t>）</w:t>
      </w:r>
      <w:r>
        <w:rPr>
          <w:rFonts w:hint="eastAsia" w:ascii="楷体_GB2312" w:eastAsia="楷体_GB2312"/>
          <w:lang w:val="en-US" w:eastAsia="zh-CN"/>
        </w:rPr>
        <w:t>依申请</w:t>
      </w:r>
      <w:r>
        <w:rPr>
          <w:rFonts w:hint="default" w:ascii="楷体_GB2312" w:eastAsia="楷体_GB2312"/>
          <w:lang w:val="en-US" w:eastAsia="zh-CN"/>
        </w:rPr>
        <w:t>公开</w:t>
      </w:r>
    </w:p>
    <w:p w14:paraId="7BA7B7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为保障公民知情权，唐坊镇人民政府持续优化依申请公开办理机制，做好政府信息公开申请答复工作。2025年共收到政府信息公开申请1件，比上年度增加1件，申请内容主要涉及土地征收领域。作出政府信息公开申请答复1件，其中无法提供1件。依申请公开政府信息未收取任何费用。未因政府信息公开被申请行政复议、提起行政诉讼。</w:t>
      </w:r>
    </w:p>
    <w:p w14:paraId="19AB59C3">
      <w:pPr>
        <w:spacing w:line="600" w:lineRule="exact"/>
        <w:jc w:val="left"/>
        <w:rPr>
          <w:rFonts w:hint="eastAsia" w:ascii="仿宋_GB2312" w:eastAsia="仿宋_GB2312"/>
          <w:szCs w:val="32"/>
          <w:lang w:val="en-US" w:eastAsia="zh-CN"/>
        </w:rPr>
      </w:pPr>
      <w:r>
        <w:rPr>
          <w:rFonts w:hint="eastAsia" w:ascii="楷体_GB2312" w:eastAsia="楷体_GB2312"/>
          <w:lang w:val="en-US" w:eastAsia="zh-CN"/>
        </w:rPr>
        <w:t>（三）政府信息管理</w:t>
      </w:r>
    </w:p>
    <w:p w14:paraId="4294A437">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highlight w:val="none"/>
          <w:shd w:val="clear" w:fill="FFFFFF"/>
          <w:lang w:val="en-US" w:eastAsia="zh-CN" w:bidi="ar-SA"/>
        </w:rPr>
      </w:pPr>
      <w:r>
        <w:rPr>
          <w:rFonts w:hint="eastAsia" w:ascii="仿宋_GB2312" w:hAnsi="仿宋_GB2312" w:eastAsia="仿宋_GB2312" w:cs="仿宋_GB2312"/>
          <w:i w:val="0"/>
          <w:iCs w:val="0"/>
          <w:caps w:val="0"/>
          <w:snapToGrid w:val="0"/>
          <w:color w:val="333333"/>
          <w:spacing w:val="0"/>
          <w:kern w:val="0"/>
          <w:sz w:val="32"/>
          <w:szCs w:val="32"/>
          <w:highlight w:val="none"/>
          <w:shd w:val="clear" w:fill="FFFFFF"/>
          <w:lang w:val="en-US" w:eastAsia="zh-CN" w:bidi="ar-SA"/>
        </w:rPr>
        <w:t>设立专职信息审核员，对公开信息前置审核，定期开展保密工作培训，确保对拟公开的政府信息进行实质性审查，确保“涉密信息不公开，公开信息不涉密”。</w:t>
      </w:r>
    </w:p>
    <w:p w14:paraId="067E9F45">
      <w:pPr>
        <w:spacing w:line="600" w:lineRule="exact"/>
        <w:jc w:val="left"/>
        <w:rPr>
          <w:rFonts w:hint="eastAsia" w:ascii="Times New Roman" w:hAnsi="Times New Roman" w:eastAsia="仿宋_GB2312" w:cs="Times New Roman"/>
          <w:i w:val="0"/>
          <w:iCs w:val="0"/>
          <w:caps w:val="0"/>
          <w:snapToGrid w:val="0"/>
          <w:color w:val="333333"/>
          <w:spacing w:val="0"/>
          <w:kern w:val="0"/>
          <w:sz w:val="32"/>
          <w:szCs w:val="32"/>
          <w:shd w:val="clear" w:fill="FFFFFF"/>
          <w:lang w:val="en-US" w:eastAsia="zh-CN" w:bidi="ar-SA"/>
        </w:rPr>
      </w:pPr>
      <w:r>
        <w:rPr>
          <w:rFonts w:hint="eastAsia" w:ascii="楷体_GB2312" w:eastAsia="楷体_GB2312"/>
          <w:lang w:val="en-US" w:eastAsia="zh-CN"/>
        </w:rPr>
        <w:t>（四）政府信息公开平台建设</w:t>
      </w:r>
    </w:p>
    <w:p w14:paraId="01C9DA2C">
      <w:pPr>
        <w:spacing w:line="600" w:lineRule="exact"/>
        <w:ind w:firstLine="640" w:firstLineChars="200"/>
        <w:jc w:val="left"/>
        <w:rPr>
          <w:rFonts w:hint="default" w:ascii="仿宋_GB2312" w:hAnsi="仿宋_GB2312" w:eastAsia="仿宋_GB2312" w:cs="仿宋_GB2312"/>
          <w:i w:val="0"/>
          <w:iCs w:val="0"/>
          <w:caps w:val="0"/>
          <w:snapToGrid w:val="0"/>
          <w:color w:val="333333"/>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新开设“政府开放日”活动专栏，下设活动预告、活动开展情况栏目。制定信息更新日程表，维护好网站现有栏目信息。做好政务公开专区建设维护工作，定期在“唐果”社工服务站开展政府信息工作宣讲会，让老年群体掌握政府工作动向。通过“最高青”APP政务号发布信息120余条。</w:t>
      </w:r>
    </w:p>
    <w:p w14:paraId="2F966995">
      <w:pPr>
        <w:spacing w:line="600" w:lineRule="exact"/>
        <w:jc w:val="left"/>
        <w:rPr>
          <w:rFonts w:hint="default" w:ascii="楷体_GB2312" w:eastAsia="楷体_GB2312"/>
          <w:lang w:val="en-US" w:eastAsia="zh-CN"/>
        </w:rPr>
      </w:pPr>
      <w:r>
        <w:rPr>
          <w:rFonts w:hint="eastAsia" w:ascii="楷体_GB2312" w:eastAsia="楷体_GB2312"/>
          <w:lang w:val="en-US" w:eastAsia="zh-CN"/>
        </w:rPr>
        <w:t>（五）监督保障</w:t>
      </w:r>
    </w:p>
    <w:p w14:paraId="06E5F015">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健全组织领导，明确责任主体，强化政务公开工作的组织领导机制。明确党政办公室作为全镇政务公开工作的主责部门，承担推进、指导、协调、监督全镇政务公开工作的职责。党政办公室内部设立政务公开专职岗位1个，制定《2025年政务公开培训计划》。各科室指定信息员，实行“采集—审核—发布”三级责任制，避免信息公开延误或疏漏。2025年唐坊镇开展政务公开专题培训2次。</w:t>
      </w:r>
    </w:p>
    <w:p w14:paraId="68B5039D">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77B98D7B">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204D0271">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396F5936">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6C8E513A">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06C77DFB">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4373D9CF">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211C7E9D">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57FEEB23">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55A697F1">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4F907E0A">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148F532C">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0AD51475">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5C459F8C">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2BCE8CB6">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768FAC6E">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0EDF5290">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6F730FF9">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1EAB0AC8">
      <w:pPr>
        <w:keepNext w:val="0"/>
        <w:keepLines w:val="0"/>
        <w:widowControl/>
        <w:suppressLineNumbers w:val="0"/>
        <w:jc w:val="left"/>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p>
    <w:p w14:paraId="5F37CF00">
      <w:pPr>
        <w:spacing w:after="156" w:afterLines="50"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5AFE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7E3C58E">
            <w:pPr>
              <w:spacing w:line="240" w:lineRule="auto"/>
              <w:ind w:firstLine="0"/>
              <w:jc w:val="center"/>
              <w:rPr>
                <w:rFonts w:eastAsia="黑体"/>
                <w:sz w:val="20"/>
              </w:rPr>
            </w:pPr>
            <w:r>
              <w:rPr>
                <w:rFonts w:eastAsia="宋体"/>
                <w:snapToGrid/>
                <w:color w:val="000000"/>
                <w:sz w:val="20"/>
              </w:rPr>
              <w:t>第二十条第（一）项</w:t>
            </w:r>
          </w:p>
        </w:tc>
      </w:tr>
      <w:tr w14:paraId="46A4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C68F47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037940AF">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30B72E96">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75D32C6B">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1E3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61A158B">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3E9C813D">
            <w:pPr>
              <w:spacing w:line="240" w:lineRule="auto"/>
              <w:ind w:firstLine="0"/>
              <w:jc w:val="center"/>
              <w:rPr>
                <w:rFonts w:eastAsia="黑体"/>
                <w:sz w:val="20"/>
              </w:rPr>
            </w:pPr>
            <w:r>
              <w:rPr>
                <w:rFonts w:eastAsia="黑体"/>
                <w:sz w:val="20"/>
              </w:rPr>
              <w:t>0</w:t>
            </w:r>
          </w:p>
        </w:tc>
        <w:tc>
          <w:tcPr>
            <w:tcW w:w="2131" w:type="dxa"/>
            <w:vAlign w:val="center"/>
          </w:tcPr>
          <w:p w14:paraId="68A019DB">
            <w:pPr>
              <w:spacing w:line="240" w:lineRule="auto"/>
              <w:ind w:firstLine="0"/>
              <w:jc w:val="center"/>
              <w:rPr>
                <w:rFonts w:eastAsia="黑体"/>
                <w:sz w:val="20"/>
              </w:rPr>
            </w:pPr>
            <w:r>
              <w:rPr>
                <w:rFonts w:eastAsia="黑体"/>
                <w:sz w:val="20"/>
              </w:rPr>
              <w:t>0</w:t>
            </w:r>
          </w:p>
        </w:tc>
        <w:tc>
          <w:tcPr>
            <w:tcW w:w="2131" w:type="dxa"/>
            <w:vAlign w:val="center"/>
          </w:tcPr>
          <w:p w14:paraId="0D3FB63E">
            <w:pPr>
              <w:spacing w:line="240" w:lineRule="auto"/>
              <w:ind w:firstLine="0"/>
              <w:jc w:val="center"/>
              <w:rPr>
                <w:rFonts w:eastAsia="黑体"/>
                <w:sz w:val="20"/>
              </w:rPr>
            </w:pPr>
            <w:r>
              <w:rPr>
                <w:rFonts w:eastAsia="黑体"/>
                <w:sz w:val="20"/>
              </w:rPr>
              <w:t>0</w:t>
            </w:r>
          </w:p>
        </w:tc>
      </w:tr>
      <w:tr w14:paraId="189C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D2971F1">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4C73582D">
            <w:pPr>
              <w:spacing w:line="240" w:lineRule="auto"/>
              <w:ind w:firstLine="0"/>
              <w:jc w:val="center"/>
              <w:rPr>
                <w:rFonts w:eastAsia="黑体"/>
                <w:sz w:val="20"/>
              </w:rPr>
            </w:pPr>
            <w:r>
              <w:rPr>
                <w:rFonts w:eastAsia="黑体"/>
                <w:sz w:val="20"/>
              </w:rPr>
              <w:t>0</w:t>
            </w:r>
          </w:p>
        </w:tc>
        <w:tc>
          <w:tcPr>
            <w:tcW w:w="2131" w:type="dxa"/>
            <w:vAlign w:val="center"/>
          </w:tcPr>
          <w:p w14:paraId="4569D6B9">
            <w:pPr>
              <w:spacing w:line="240" w:lineRule="auto"/>
              <w:ind w:firstLine="0"/>
              <w:jc w:val="center"/>
              <w:rPr>
                <w:rFonts w:eastAsia="黑体"/>
                <w:sz w:val="20"/>
              </w:rPr>
            </w:pPr>
            <w:r>
              <w:rPr>
                <w:rFonts w:eastAsia="黑体"/>
                <w:sz w:val="20"/>
              </w:rPr>
              <w:t>0</w:t>
            </w:r>
          </w:p>
        </w:tc>
        <w:tc>
          <w:tcPr>
            <w:tcW w:w="2131" w:type="dxa"/>
            <w:vAlign w:val="center"/>
          </w:tcPr>
          <w:p w14:paraId="5C60CA60">
            <w:pPr>
              <w:spacing w:line="240" w:lineRule="auto"/>
              <w:ind w:firstLine="0"/>
              <w:jc w:val="center"/>
              <w:rPr>
                <w:rFonts w:eastAsia="黑体"/>
                <w:sz w:val="20"/>
              </w:rPr>
            </w:pPr>
            <w:r>
              <w:rPr>
                <w:rFonts w:eastAsia="黑体"/>
                <w:sz w:val="20"/>
              </w:rPr>
              <w:t>0</w:t>
            </w:r>
          </w:p>
        </w:tc>
      </w:tr>
      <w:tr w14:paraId="7197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289DB6F">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57F3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F46A5D7">
            <w:pPr>
              <w:widowControl/>
              <w:autoSpaceDE/>
              <w:autoSpaceDN/>
              <w:snapToGrid/>
              <w:spacing w:line="240" w:lineRule="auto"/>
              <w:ind w:firstLine="600" w:firstLineChars="300"/>
              <w:jc w:val="both"/>
              <w:rPr>
                <w:rFonts w:eastAsia="宋体"/>
                <w:snapToGrid/>
                <w:color w:val="000000"/>
                <w:sz w:val="20"/>
              </w:rPr>
            </w:pPr>
            <w:r>
              <w:rPr>
                <w:rFonts w:eastAsia="宋体"/>
                <w:snapToGrid/>
                <w:color w:val="000000"/>
                <w:sz w:val="20"/>
              </w:rPr>
              <w:t>信息内容</w:t>
            </w:r>
          </w:p>
        </w:tc>
        <w:tc>
          <w:tcPr>
            <w:tcW w:w="6392" w:type="dxa"/>
            <w:gridSpan w:val="3"/>
            <w:vAlign w:val="center"/>
          </w:tcPr>
          <w:p w14:paraId="7EAD7A03">
            <w:pPr>
              <w:spacing w:line="240" w:lineRule="auto"/>
              <w:ind w:firstLine="0"/>
              <w:jc w:val="center"/>
              <w:rPr>
                <w:rFonts w:eastAsia="黑体"/>
                <w:sz w:val="20"/>
              </w:rPr>
            </w:pPr>
            <w:r>
              <w:rPr>
                <w:rFonts w:eastAsia="宋体"/>
                <w:snapToGrid/>
                <w:color w:val="000000"/>
                <w:sz w:val="20"/>
              </w:rPr>
              <w:t>本年处理决定数量</w:t>
            </w:r>
          </w:p>
        </w:tc>
      </w:tr>
      <w:tr w14:paraId="463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252B200">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15490FAF">
            <w:pPr>
              <w:spacing w:line="240" w:lineRule="auto"/>
              <w:ind w:firstLine="0"/>
              <w:jc w:val="center"/>
              <w:rPr>
                <w:rFonts w:eastAsia="黑体"/>
                <w:sz w:val="20"/>
              </w:rPr>
            </w:pPr>
            <w:r>
              <w:rPr>
                <w:rFonts w:eastAsia="黑体"/>
                <w:sz w:val="20"/>
              </w:rPr>
              <w:t>0</w:t>
            </w:r>
          </w:p>
        </w:tc>
      </w:tr>
      <w:tr w14:paraId="7DEB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3CA4536">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73AA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0705104">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2152E377">
            <w:pPr>
              <w:spacing w:line="240" w:lineRule="auto"/>
              <w:ind w:firstLine="0"/>
              <w:jc w:val="center"/>
              <w:rPr>
                <w:rFonts w:eastAsia="黑体"/>
                <w:sz w:val="20"/>
              </w:rPr>
            </w:pPr>
            <w:r>
              <w:rPr>
                <w:rFonts w:eastAsia="宋体"/>
                <w:snapToGrid/>
                <w:color w:val="000000"/>
                <w:sz w:val="20"/>
              </w:rPr>
              <w:t>本年处理决定数量</w:t>
            </w:r>
          </w:p>
        </w:tc>
      </w:tr>
      <w:tr w14:paraId="4A1B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B8B41B3">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6973A815">
            <w:pPr>
              <w:spacing w:line="240" w:lineRule="auto"/>
              <w:ind w:firstLine="0"/>
              <w:jc w:val="center"/>
              <w:rPr>
                <w:rFonts w:eastAsia="黑体"/>
                <w:sz w:val="20"/>
              </w:rPr>
            </w:pPr>
            <w:r>
              <w:rPr>
                <w:rFonts w:eastAsia="黑体"/>
                <w:sz w:val="20"/>
              </w:rPr>
              <w:t>0</w:t>
            </w:r>
          </w:p>
        </w:tc>
      </w:tr>
      <w:tr w14:paraId="6B07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9E30A5A">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43F46E79">
            <w:pPr>
              <w:spacing w:line="240" w:lineRule="auto"/>
              <w:ind w:firstLine="0"/>
              <w:jc w:val="center"/>
              <w:rPr>
                <w:rFonts w:eastAsia="黑体"/>
                <w:sz w:val="20"/>
              </w:rPr>
            </w:pPr>
            <w:r>
              <w:rPr>
                <w:rFonts w:eastAsia="黑体"/>
                <w:sz w:val="20"/>
              </w:rPr>
              <w:t>0</w:t>
            </w:r>
          </w:p>
        </w:tc>
      </w:tr>
      <w:tr w14:paraId="2B67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B25C28E">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361B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CFF6EF2">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09739FD8">
            <w:pPr>
              <w:spacing w:line="240" w:lineRule="auto"/>
              <w:ind w:firstLine="0"/>
              <w:jc w:val="center"/>
              <w:rPr>
                <w:rFonts w:eastAsia="黑体"/>
                <w:sz w:val="20"/>
              </w:rPr>
            </w:pPr>
            <w:r>
              <w:rPr>
                <w:rFonts w:eastAsia="宋体"/>
                <w:snapToGrid/>
                <w:color w:val="000000"/>
                <w:sz w:val="20"/>
              </w:rPr>
              <w:t>本年收费金额（单位：万元）</w:t>
            </w:r>
          </w:p>
        </w:tc>
      </w:tr>
      <w:tr w14:paraId="6873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395A79">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20BA71F8">
            <w:pPr>
              <w:spacing w:line="240" w:lineRule="auto"/>
              <w:ind w:firstLine="0"/>
              <w:jc w:val="center"/>
              <w:rPr>
                <w:rFonts w:eastAsia="黑体"/>
                <w:sz w:val="20"/>
              </w:rPr>
            </w:pPr>
            <w:r>
              <w:rPr>
                <w:rFonts w:eastAsia="黑体"/>
                <w:sz w:val="20"/>
              </w:rPr>
              <w:t>0</w:t>
            </w:r>
          </w:p>
        </w:tc>
      </w:tr>
    </w:tbl>
    <w:p w14:paraId="75AE77FA">
      <w:pPr>
        <w:spacing w:after="156" w:afterLines="50" w:line="240" w:lineRule="auto"/>
        <w:ind w:left="0" w:leftChars="0" w:firstLine="0" w:firstLineChars="0"/>
        <w:rPr>
          <w:rFonts w:eastAsia="黑体"/>
          <w:szCs w:val="32"/>
        </w:rPr>
      </w:pPr>
    </w:p>
    <w:p w14:paraId="142B22FF">
      <w:pPr>
        <w:spacing w:after="156" w:afterLines="50" w:line="240" w:lineRule="auto"/>
        <w:ind w:left="0" w:leftChars="0" w:firstLine="0" w:firstLineChars="0"/>
        <w:rPr>
          <w:rFonts w:eastAsia="黑体"/>
          <w:szCs w:val="32"/>
        </w:rPr>
      </w:pPr>
    </w:p>
    <w:p w14:paraId="4CDDF6D0">
      <w:pPr>
        <w:spacing w:after="156" w:afterLines="50" w:line="240" w:lineRule="auto"/>
        <w:ind w:left="0" w:leftChars="0" w:firstLine="0" w:firstLineChars="0"/>
        <w:rPr>
          <w:rFonts w:eastAsia="黑体"/>
          <w:szCs w:val="32"/>
        </w:rPr>
      </w:pPr>
    </w:p>
    <w:p w14:paraId="75941C5E">
      <w:pPr>
        <w:spacing w:after="156" w:afterLines="50" w:line="240" w:lineRule="auto"/>
        <w:ind w:left="0" w:leftChars="0" w:firstLine="0" w:firstLineChars="0"/>
        <w:rPr>
          <w:rFonts w:eastAsia="黑体"/>
          <w:szCs w:val="32"/>
        </w:rPr>
      </w:pPr>
    </w:p>
    <w:p w14:paraId="7DA1825B">
      <w:pPr>
        <w:spacing w:after="156" w:afterLines="50" w:line="240" w:lineRule="auto"/>
        <w:ind w:left="0" w:leftChars="0" w:firstLine="0" w:firstLineChars="0"/>
        <w:rPr>
          <w:rFonts w:eastAsia="黑体"/>
          <w:szCs w:val="32"/>
        </w:rPr>
      </w:pPr>
    </w:p>
    <w:p w14:paraId="0E9ED996">
      <w:pPr>
        <w:spacing w:after="156" w:afterLines="50" w:line="240" w:lineRule="auto"/>
        <w:ind w:left="0" w:leftChars="0" w:firstLine="0" w:firstLineChars="0"/>
        <w:rPr>
          <w:rFonts w:eastAsia="黑体"/>
          <w:szCs w:val="32"/>
        </w:rPr>
      </w:pPr>
    </w:p>
    <w:p w14:paraId="40B53F05">
      <w:pPr>
        <w:spacing w:after="156" w:afterLines="50" w:line="240" w:lineRule="auto"/>
        <w:ind w:left="0" w:leftChars="0" w:firstLine="0" w:firstLineChars="0"/>
        <w:rPr>
          <w:rFonts w:eastAsia="黑体"/>
          <w:szCs w:val="32"/>
        </w:rPr>
      </w:pPr>
    </w:p>
    <w:p w14:paraId="5F81B544">
      <w:pPr>
        <w:spacing w:after="156" w:afterLines="50" w:line="240" w:lineRule="auto"/>
        <w:ind w:left="0" w:leftChars="0" w:firstLine="0" w:firstLineChars="0"/>
        <w:rPr>
          <w:rFonts w:eastAsia="黑体"/>
          <w:szCs w:val="32"/>
        </w:rPr>
      </w:pPr>
    </w:p>
    <w:p w14:paraId="478AEE51">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4137AA2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1A50582">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2FCCF6E">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2BC33C1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D81B249">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D36F601">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9AC64D3">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7DF8931E">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659070A6">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0A0D483">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4E07E54">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DB2DD9">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57DFBB51">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CC1006">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33BD32BC">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2BE9108">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7B3A3B9">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200C35">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0BEC2F8E">
            <w:pPr>
              <w:widowControl/>
              <w:autoSpaceDE/>
              <w:autoSpaceDN/>
              <w:snapToGrid/>
              <w:spacing w:line="240" w:lineRule="auto"/>
              <w:ind w:firstLine="0"/>
              <w:jc w:val="left"/>
              <w:rPr>
                <w:rFonts w:eastAsia="宋体"/>
                <w:snapToGrid/>
                <w:sz w:val="24"/>
                <w:szCs w:val="24"/>
              </w:rPr>
            </w:pPr>
          </w:p>
        </w:tc>
      </w:tr>
      <w:tr w14:paraId="5957793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3F1253C">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7570CD1">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57DD4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6C7E4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3D18AB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384DF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DF0AE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B8004A5">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r>
      <w:tr w14:paraId="1B8AA51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3D822BB">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DF605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6C17F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D9B78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E6F9E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A2574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92AB5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40569E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D9A8B82">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02DC7A7F">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0C889DE">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E2531E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2D79E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22EF9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290E2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E998ED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393A9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605864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58E0164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3B076F">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B27889F">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2F739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3AA53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3D374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DD8D8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4EC76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93D03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0FF4AE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DD631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93E3F93">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7B7957F">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7BF9D1">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897E90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43D94F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5E7F45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446B4B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6708746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A5F735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A43C3A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76BEA5B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B7A92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58C41D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996856">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CE0369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CA6398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2B05DA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406D45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2FA58F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E3D790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2AE0DD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0CE8735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B3D81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829AE0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42D622B">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F02203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5BAD60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487E05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03F03A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19B966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8E0B0B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2B9566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3ED1182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F46CF3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070F96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DFA549">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249ADC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E716CD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3BD544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91E8B2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239461E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C14F0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217245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9CDDC6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FDA05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6248D5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6B1463D">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6423D7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18B385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F92445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429F49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62490F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BA181F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63DC15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6075C65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7BBC40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C4A002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0C5A8C">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51468C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B14E76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02DBDB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FC9D31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57595E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B3F991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910792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1FCC53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CBF7D7">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DF5FD0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68F975E">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E18AD1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BED7B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E53205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320E15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A95971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DD02AC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DC3AFA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3300909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135977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E05EC3D">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17ECA82">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62B759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84F235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F26768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FBE3C4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40EEC3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906D0A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20BF21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262D12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A34E07">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43AA2EE">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50161FD">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E4DCCF9">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40C9C1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A78900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F14F2E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54D681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BD782E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1B078D3">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r>
      <w:tr w14:paraId="7427BA8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1E245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266059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FC9EC2">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6A1CD6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8F6ED7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0A2D20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E9E4B5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E22E3C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548BA0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ACD79C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30553C6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041970">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2F6D46D">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2175A82">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7C5CEB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41097F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51A8B5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D97EAB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7447F7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929599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6F8B6C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6BC747E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F3D62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A5A1758">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75D4FD">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A7CA2C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AC68C2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E3E9C8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DD301E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AD8436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2D0A07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81A89B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3E37EEA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4C92BA0">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632F7D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20A3561">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DD310C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99BD64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3B8B2A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61207D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EC0D68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2EFFB2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5D7673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8A55A0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9DCD7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C12E89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E943C74">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1FDECD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073664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D4728A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286F83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6F9D0D6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4EECF0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67ADC5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0C1F681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31196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988CD2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EE7A5C4">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F2D95C5">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1D8F31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10DB02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8AAF9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B63B60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E19770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35222E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B03C3E2">
        <w:tblPrEx>
          <w:tblCellMar>
            <w:top w:w="0" w:type="dxa"/>
            <w:left w:w="0" w:type="dxa"/>
            <w:bottom w:w="0" w:type="dxa"/>
            <w:right w:w="0" w:type="dxa"/>
          </w:tblCellMar>
        </w:tblPrEx>
        <w:trPr>
          <w:trHeight w:val="444"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0B04A7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5D475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435C834C">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6711B94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D860D0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C9E192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8B1EBD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7E84192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C52511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9865A0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7B927938">
        <w:tblPrEx>
          <w:tblCellMar>
            <w:top w:w="0" w:type="dxa"/>
            <w:left w:w="0" w:type="dxa"/>
            <w:bottom w:w="0" w:type="dxa"/>
            <w:right w:w="0" w:type="dxa"/>
          </w:tblCellMar>
        </w:tblPrEx>
        <w:trPr>
          <w:trHeight w:val="528"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7DD99491">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50198BE6">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45624A3">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283B9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B8A77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59856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8BE509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9F7052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12AE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1AC027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0A571E0F">
        <w:tblPrEx>
          <w:tblCellMar>
            <w:top w:w="0" w:type="dxa"/>
            <w:left w:w="0" w:type="dxa"/>
            <w:bottom w:w="0" w:type="dxa"/>
            <w:right w:w="0" w:type="dxa"/>
          </w:tblCellMar>
        </w:tblPrEx>
        <w:trPr>
          <w:trHeight w:val="816"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B14261D">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0A2100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3007C31">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D14C3E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6106D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F851E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99646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446DD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71AEC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8C8FD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623D06B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648632">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01DE9C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29391D8">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C5014C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3D3EC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D2CA5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8A0A6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27120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DA7CB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E640C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14:paraId="42F33EF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923364D">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F60D192">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985DF9">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00918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407B3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D77CCE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484BF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AB573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2828AD3">
            <w:pPr>
              <w:widowControl/>
              <w:autoSpaceDE/>
              <w:autoSpaceDN/>
              <w:snapToGrid/>
              <w:spacing w:line="240" w:lineRule="auto"/>
              <w:ind w:firstLine="0"/>
              <w:jc w:val="center"/>
              <w:rPr>
                <w:rFonts w:hint="eastAsia" w:eastAsia="宋体"/>
                <w:snapToGrid/>
                <w:sz w:val="24"/>
                <w:szCs w:val="24"/>
                <w:lang w:eastAsia="zh-CN"/>
              </w:rPr>
            </w:pPr>
            <w:r>
              <w:rPr>
                <w:rFonts w:hint="eastAsia" w:eastAsia="宋体"/>
                <w:snapToGrid/>
                <w:sz w:val="24"/>
                <w:szCs w:val="24"/>
                <w:lang w:val="en-US" w:eastAsia="zh-CN"/>
              </w:rPr>
              <w:t>1</w:t>
            </w:r>
            <w:bookmarkStart w:id="0" w:name="_GoBack"/>
            <w:bookmarkEnd w:id="0"/>
          </w:p>
        </w:tc>
      </w:tr>
      <w:tr w14:paraId="7AAA437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111D717">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3ED549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86BB0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7EBDFE">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6860B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45101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6E0720">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452CBE4">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14:paraId="3B72AD34">
      <w:pPr>
        <w:spacing w:line="240" w:lineRule="auto"/>
        <w:ind w:firstLine="0"/>
        <w:rPr>
          <w:rFonts w:eastAsia="黑体"/>
          <w:sz w:val="30"/>
          <w:szCs w:val="30"/>
        </w:rPr>
      </w:pPr>
    </w:p>
    <w:p w14:paraId="098ABB55">
      <w:pPr>
        <w:keepNext w:val="0"/>
        <w:keepLines w:val="0"/>
        <w:pageBreakBefore w:val="0"/>
        <w:widowControl w:val="0"/>
        <w:kinsoku/>
        <w:wordWrap/>
        <w:overflowPunct/>
        <w:topLinePunct w:val="0"/>
        <w:autoSpaceDE w:val="0"/>
        <w:autoSpaceDN w:val="0"/>
        <w:bidi w:val="0"/>
        <w:adjustRightInd/>
        <w:snapToGrid w:val="0"/>
        <w:spacing w:after="156" w:afterLines="50" w:line="240" w:lineRule="auto"/>
        <w:ind w:left="0" w:leftChars="0" w:firstLine="640" w:firstLineChars="200"/>
        <w:textAlignment w:val="auto"/>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C52F9F4">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58EB5E">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236F79">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034D8012">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85D6ED">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ECD802">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0DE1FE">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989A0D">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0BB4BE">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9C27A0">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AAE65">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5FE1232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EC93644">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5D21E0E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AB46DE9">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B6E6C68">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7C9C4B4">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84ABF3">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B6EF24">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B834F7">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3351F">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C5D83A">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EB448">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4BE72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689B99">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C44961">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3D422">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71F60410">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976E22">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92408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7DA2E1">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0ADCD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CAB41F">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96596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85324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C3628B">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FD4167">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4C3FB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331983">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C9703A">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212FB9">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906D98">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D2A9ED">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14:paraId="5EC4D8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Arial" w:hAnsi="Arial" w:cs="Arial"/>
          <w:b/>
          <w:bCs/>
          <w:i w:val="0"/>
          <w:iCs w:val="0"/>
          <w:caps w:val="0"/>
          <w:color w:val="222222"/>
          <w:spacing w:val="0"/>
          <w:lang w:val="en-US" w:eastAsia="zh-CN"/>
        </w:rPr>
      </w:pPr>
    </w:p>
    <w:p w14:paraId="64009766">
      <w:pPr>
        <w:keepNext w:val="0"/>
        <w:keepLines w:val="0"/>
        <w:pageBreakBefore w:val="0"/>
        <w:widowControl w:val="0"/>
        <w:numPr>
          <w:ilvl w:val="0"/>
          <w:numId w:val="1"/>
        </w:numPr>
        <w:kinsoku/>
        <w:wordWrap/>
        <w:overflowPunct/>
        <w:topLinePunct w:val="0"/>
        <w:autoSpaceDE w:val="0"/>
        <w:autoSpaceDN w:val="0"/>
        <w:bidi w:val="0"/>
        <w:adjustRightInd/>
        <w:snapToGrid w:val="0"/>
        <w:spacing w:after="156" w:afterLines="50" w:line="240" w:lineRule="auto"/>
        <w:ind w:left="0" w:leftChars="0" w:firstLine="640" w:firstLineChars="200"/>
        <w:textAlignment w:val="auto"/>
        <w:rPr>
          <w:rFonts w:hint="default" w:eastAsia="黑体"/>
          <w:szCs w:val="32"/>
        </w:rPr>
      </w:pPr>
      <w:r>
        <w:rPr>
          <w:rFonts w:hint="default" w:eastAsia="黑体"/>
          <w:szCs w:val="32"/>
        </w:rPr>
        <w:t>存在的主要问题及改进情况</w:t>
      </w:r>
    </w:p>
    <w:p w14:paraId="4E6A9EA5">
      <w:pPr>
        <w:spacing w:line="600" w:lineRule="exact"/>
        <w:jc w:val="left"/>
        <w:rPr>
          <w:rFonts w:hint="default" w:ascii="楷体_GB2312" w:eastAsia="楷体_GB2312" w:hAnsiTheme="minorHAnsi" w:cstheme="minorBidi"/>
          <w:snapToGrid/>
          <w:kern w:val="2"/>
          <w:sz w:val="32"/>
          <w:szCs w:val="32"/>
        </w:rPr>
      </w:pPr>
      <w:r>
        <w:rPr>
          <w:rFonts w:hint="eastAsia" w:ascii="楷体_GB2312" w:eastAsia="楷体_GB2312"/>
          <w:lang w:val="en-US" w:eastAsia="zh-CN"/>
        </w:rPr>
        <w:t>（一）</w:t>
      </w:r>
      <w:r>
        <w:rPr>
          <w:rFonts w:hint="default" w:ascii="楷体_GB2312" w:eastAsia="楷体_GB2312"/>
          <w:lang w:val="en-US" w:eastAsia="zh-CN"/>
        </w:rPr>
        <w:t>存在问题</w:t>
      </w:r>
    </w:p>
    <w:p w14:paraId="7E837B50">
      <w:pPr>
        <w:rPr>
          <w:rFonts w:hint="default" w:ascii="Times New Roman" w:hAnsi="Times New Roman" w:eastAsia="仿宋_GB2312" w:cs="Times New Roman"/>
          <w:i w:val="0"/>
          <w:iCs w:val="0"/>
          <w:caps w:val="0"/>
          <w:snapToGrid w:val="0"/>
          <w:color w:val="333333"/>
          <w:spacing w:val="0"/>
          <w:kern w:val="0"/>
          <w:sz w:val="32"/>
          <w:szCs w:val="32"/>
          <w:shd w:val="clear" w:fill="FFFFFF"/>
          <w:lang w:val="en-US" w:eastAsia="zh-CN" w:bidi="ar-SA"/>
        </w:rPr>
      </w:pPr>
      <w:r>
        <w:rPr>
          <w:rFonts w:hint="eastAsia" w:ascii="Times New Roman" w:hAnsi="Times New Roman" w:eastAsia="仿宋_GB2312" w:cs="Times New Roman"/>
          <w:i w:val="0"/>
          <w:iCs w:val="0"/>
          <w:caps w:val="0"/>
          <w:snapToGrid w:val="0"/>
          <w:color w:val="333333"/>
          <w:spacing w:val="0"/>
          <w:kern w:val="0"/>
          <w:sz w:val="32"/>
          <w:szCs w:val="32"/>
          <w:shd w:val="clear" w:fill="FFFFFF"/>
          <w:lang w:val="en-US" w:eastAsia="zh-CN" w:bidi="ar-SA"/>
        </w:rPr>
        <w:t>一是信息发布不及时，时效性差。</w:t>
      </w:r>
      <w:r>
        <w:rPr>
          <w:rFonts w:hint="eastAsia" w:eastAsia="仿宋_GB2312" w:cs="Times New Roman"/>
          <w:i w:val="0"/>
          <w:iCs w:val="0"/>
          <w:caps w:val="0"/>
          <w:snapToGrid w:val="0"/>
          <w:color w:val="333333"/>
          <w:spacing w:val="0"/>
          <w:kern w:val="0"/>
          <w:sz w:val="32"/>
          <w:szCs w:val="32"/>
          <w:shd w:val="clear" w:fill="FFFFFF"/>
          <w:lang w:val="en-US" w:eastAsia="zh-CN" w:bidi="ar-SA"/>
        </w:rPr>
        <w:t>许多群众关注的民生信息更新滞后。</w:t>
      </w:r>
    </w:p>
    <w:p w14:paraId="58805A09">
      <w:pPr>
        <w:keepNext w:val="0"/>
        <w:keepLines w:val="0"/>
        <w:widowControl/>
        <w:suppressLineNumbers w:val="0"/>
        <w:jc w:val="left"/>
        <w:rPr>
          <w:rFonts w:hint="default"/>
          <w:lang w:val="en-US"/>
        </w:rPr>
      </w:pPr>
      <w:r>
        <w:rPr>
          <w:rFonts w:hint="eastAsia" w:ascii="Times New Roman" w:hAnsi="Times New Roman" w:eastAsia="仿宋_GB2312" w:cs="Times New Roman"/>
          <w:i w:val="0"/>
          <w:iCs w:val="0"/>
          <w:caps w:val="0"/>
          <w:snapToGrid w:val="0"/>
          <w:color w:val="333333"/>
          <w:spacing w:val="0"/>
          <w:kern w:val="0"/>
          <w:sz w:val="32"/>
          <w:szCs w:val="32"/>
          <w:shd w:val="clear" w:fill="FFFFFF"/>
          <w:lang w:val="en-US" w:eastAsia="zh-CN" w:bidi="ar-SA"/>
        </w:rPr>
        <w:t>二是公开内容不实用，群众获得感不强</w:t>
      </w:r>
      <w:r>
        <w:rPr>
          <w:rFonts w:hint="eastAsia" w:eastAsia="仿宋_GB2312" w:cs="Times New Roman"/>
          <w:i w:val="0"/>
          <w:iCs w:val="0"/>
          <w:caps w:val="0"/>
          <w:snapToGrid w:val="0"/>
          <w:color w:val="333333"/>
          <w:spacing w:val="0"/>
          <w:kern w:val="0"/>
          <w:sz w:val="32"/>
          <w:szCs w:val="32"/>
          <w:shd w:val="clear" w:fill="FFFFFF"/>
          <w:lang w:val="en-US" w:eastAsia="zh-CN" w:bidi="ar-SA"/>
        </w:rPr>
        <w:t>。在公开信息时，倾向于选择日常工作动态、一般性办事流程或领导活动等信息。</w:t>
      </w:r>
    </w:p>
    <w:p w14:paraId="064A37B7">
      <w:pPr>
        <w:spacing w:line="600" w:lineRule="exact"/>
        <w:jc w:val="left"/>
        <w:rPr>
          <w:rFonts w:hint="default" w:ascii="楷体_GB2312" w:eastAsia="楷体_GB2312"/>
          <w:lang w:val="en-US" w:eastAsia="zh-CN"/>
        </w:rPr>
      </w:pPr>
      <w:r>
        <w:rPr>
          <w:rFonts w:hint="eastAsia" w:ascii="楷体_GB2312" w:eastAsia="楷体_GB2312"/>
          <w:lang w:val="en-US" w:eastAsia="zh-CN"/>
        </w:rPr>
        <w:t>（二）</w:t>
      </w:r>
      <w:r>
        <w:rPr>
          <w:rFonts w:hint="default" w:ascii="楷体_GB2312" w:eastAsia="楷体_GB2312"/>
          <w:lang w:val="en-US" w:eastAsia="zh-CN"/>
        </w:rPr>
        <w:t>改进情况</w:t>
      </w:r>
    </w:p>
    <w:p w14:paraId="10995662">
      <w:pPr>
        <w:rPr>
          <w:rFonts w:hint="default" w:ascii="仿宋_GB2312" w:hAnsi="仿宋_GB2312" w:eastAsia="仿宋_GB2312" w:cs="仿宋_GB2312"/>
          <w:i w:val="0"/>
          <w:iCs w:val="0"/>
          <w:caps w:val="0"/>
          <w:snapToGrid w:val="0"/>
          <w:color w:val="333333"/>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一是制定信息发布时限承诺，对各类信息设定明确的发布时限，落实相关科室在规定时限内发布信息。建立信息更新台账，明确责任到人，列出所有栏目的责任科室与更新要求，实现“谁主管、谁负责”确保信息更新及时。</w:t>
      </w:r>
    </w:p>
    <w:p w14:paraId="128D953F">
      <w:pPr>
        <w:rPr>
          <w:rFonts w:hint="default" w:ascii="宋体" w:hAnsi="宋体" w:eastAsia="宋体" w:cs="宋体"/>
          <w:snapToGrid w:val="0"/>
          <w:kern w:val="0"/>
          <w:sz w:val="24"/>
          <w:szCs w:val="24"/>
          <w:lang w:val="en-US" w:eastAsia="zh-CN" w:bidi="ar"/>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二是精准定位群众需求，建立常态化需求征集与反馈机制，将群众关切作为公开重点。同时深化信息公开内容质量，强化政策解读与信息公开的深度融合，确保信息易懂、有用，增强群众获得感。</w:t>
      </w:r>
    </w:p>
    <w:p w14:paraId="721C9A6A">
      <w:pPr>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0" w:firstLineChars="200"/>
        <w:textAlignment w:val="auto"/>
        <w:rPr>
          <w:rFonts w:eastAsia="黑体"/>
          <w:szCs w:val="32"/>
        </w:rPr>
      </w:pPr>
      <w:r>
        <w:rPr>
          <w:rFonts w:eastAsia="黑体"/>
          <w:szCs w:val="32"/>
        </w:rPr>
        <w:t>六、其他需要报告的事项</w:t>
      </w:r>
    </w:p>
    <w:p w14:paraId="5F30B87F">
      <w:pPr>
        <w:spacing w:line="600" w:lineRule="exact"/>
        <w:jc w:val="left"/>
        <w:rPr>
          <w:rFonts w:hint="eastAsia" w:ascii="楷体_GB2312" w:eastAsia="楷体_GB2312"/>
          <w:lang w:val="en-US" w:eastAsia="zh-CN"/>
        </w:rPr>
      </w:pPr>
      <w:r>
        <w:rPr>
          <w:rFonts w:hint="eastAsia" w:ascii="楷体_GB2312" w:eastAsia="楷体_GB2312"/>
          <w:lang w:val="en-US" w:eastAsia="zh-CN"/>
        </w:rPr>
        <w:t>（一）政府信息公开信息处理费收取情况</w:t>
      </w:r>
    </w:p>
    <w:p w14:paraId="2FED256F">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ascii="仿宋_GB2312" w:eastAsia="仿宋_GB2312"/>
          <w:sz w:val="32"/>
          <w:szCs w:val="32"/>
          <w:lang w:val="en-US" w:eastAsia="zh-CN"/>
        </w:rPr>
        <w:t>5</w:t>
      </w:r>
      <w:r>
        <w:rPr>
          <w:rFonts w:hint="eastAsia" w:ascii="仿宋_GB2312" w:eastAsia="仿宋_GB2312"/>
          <w:sz w:val="32"/>
          <w:szCs w:val="32"/>
        </w:rPr>
        <w:t>年本机关依申请公开政府信息未收取任何费用</w:t>
      </w:r>
    </w:p>
    <w:p w14:paraId="559A768F">
      <w:pPr>
        <w:spacing w:line="600" w:lineRule="exact"/>
        <w:jc w:val="left"/>
        <w:rPr>
          <w:rFonts w:hint="eastAsia" w:ascii="楷体_GB2312" w:eastAsia="楷体_GB2312"/>
          <w:lang w:val="en-US" w:eastAsia="zh-CN"/>
        </w:rPr>
      </w:pPr>
      <w:r>
        <w:rPr>
          <w:rFonts w:hint="eastAsia" w:ascii="楷体_GB2312" w:eastAsia="楷体_GB2312"/>
          <w:lang w:val="en-US" w:eastAsia="zh-CN"/>
        </w:rPr>
        <w:t>（二）落实上级年度政务公开工作要点情况</w:t>
      </w:r>
    </w:p>
    <w:p w14:paraId="1CFA55EC">
      <w:pPr>
        <w:keepNext w:val="0"/>
        <w:keepLines w:val="0"/>
        <w:widowControl/>
        <w:suppressLineNumbers w:val="0"/>
        <w:jc w:val="left"/>
        <w:rPr>
          <w:rFonts w:hint="eastAsia" w:ascii="仿宋_GB2312" w:eastAsia="仿宋_GB2312"/>
          <w:sz w:val="32"/>
          <w:szCs w:val="32"/>
        </w:rPr>
      </w:pPr>
      <w:r>
        <w:rPr>
          <w:rFonts w:hint="eastAsia" w:ascii="仿宋_GB2312" w:eastAsia="仿宋_GB2312"/>
          <w:sz w:val="32"/>
          <w:szCs w:val="32"/>
        </w:rPr>
        <w:t>严格落实国家和省市县政务公开工作要点，并根据《高青县人民政府办公室关于印发202</w:t>
      </w:r>
      <w:r>
        <w:rPr>
          <w:rFonts w:hint="eastAsia" w:ascii="仿宋_GB2312" w:eastAsia="仿宋_GB2312"/>
          <w:sz w:val="32"/>
          <w:szCs w:val="32"/>
          <w:lang w:val="en-US" w:eastAsia="zh-CN"/>
        </w:rPr>
        <w:t>5</w:t>
      </w:r>
      <w:r>
        <w:rPr>
          <w:rFonts w:hint="eastAsia" w:ascii="仿宋_GB2312" w:eastAsia="仿宋_GB2312"/>
          <w:sz w:val="32"/>
          <w:szCs w:val="32"/>
        </w:rPr>
        <w:t>年高青县政务公开工作方案的通知》要求，制定了《高青县</w:t>
      </w:r>
      <w:r>
        <w:rPr>
          <w:rFonts w:hint="eastAsia" w:ascii="仿宋_GB2312" w:eastAsia="仿宋_GB2312"/>
          <w:sz w:val="32"/>
          <w:szCs w:val="32"/>
          <w:lang w:val="en-US" w:eastAsia="zh-CN"/>
        </w:rPr>
        <w:t>唐坊镇人民政府</w:t>
      </w:r>
      <w:r>
        <w:rPr>
          <w:rFonts w:hint="eastAsia" w:ascii="仿宋_GB2312" w:eastAsia="仿宋_GB2312"/>
          <w:sz w:val="32"/>
          <w:szCs w:val="32"/>
        </w:rPr>
        <w:t>政务公开工作方案》，明确了重点任务、工作标准和完成时限。</w:t>
      </w:r>
      <w:r>
        <w:rPr>
          <w:rFonts w:hint="eastAsia" w:ascii="仿宋_GB2312" w:eastAsia="仿宋_GB2312"/>
          <w:sz w:val="32"/>
          <w:szCs w:val="32"/>
          <w:lang w:val="en-US" w:eastAsia="zh-CN"/>
        </w:rPr>
        <w:t>一是强化信息发布时效管理，增强公共服务响应能力。建立信息动态调整机制，确保信息变动后及时更新发布。依托“最高青”媒体平台，及时转载唐坊镇重大政策、应急预警、等权威信息。对涉及群众切身利益的补贴申领、养老服务等事项，推行“政策找人”服务模式，通过集市宣讲政策、管区信息员上门宣讲等方式，实现精准推送政策信息“早知悉、快办理”。二是深化经验总结与能力建设，营造良好公开氛围。围绕政务公开工作中的重点、难点及创新实践，定期组织案例征集和经验提炼，同时多学习借鉴其他单位单位发布的高质量稿件。将政务公开工作纳入年度考核体系，强化责任落实。</w:t>
      </w:r>
    </w:p>
    <w:p w14:paraId="2B2A2904">
      <w:pPr>
        <w:spacing w:line="600" w:lineRule="exact"/>
        <w:jc w:val="left"/>
        <w:rPr>
          <w:rFonts w:hint="eastAsia" w:ascii="楷体_GB2312" w:eastAsia="楷体_GB2312"/>
          <w:lang w:val="en-US" w:eastAsia="zh-CN"/>
        </w:rPr>
      </w:pPr>
      <w:r>
        <w:rPr>
          <w:rFonts w:hint="eastAsia" w:ascii="楷体_GB2312" w:eastAsia="楷体_GB2312"/>
          <w:lang w:val="en-US" w:eastAsia="zh-CN"/>
        </w:rPr>
        <w:t>（三）人大代表建议和政协委员提案办理结果公开情况</w:t>
      </w:r>
    </w:p>
    <w:p w14:paraId="6CCF53F3">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ascii="Times New Roman" w:hAnsi="Times New Roman" w:eastAsia="仿宋_GB2312" w:cs="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承办县十八届人大</w:t>
      </w:r>
      <w:r>
        <w:rPr>
          <w:rFonts w:hint="eastAsia" w:ascii="仿宋_GB2312" w:eastAsia="仿宋_GB2312"/>
          <w:sz w:val="32"/>
          <w:szCs w:val="32"/>
          <w:lang w:val="en-US" w:eastAsia="zh-CN"/>
        </w:rPr>
        <w:t>四</w:t>
      </w:r>
      <w:r>
        <w:rPr>
          <w:rFonts w:hint="eastAsia" w:ascii="仿宋_GB2312" w:eastAsia="仿宋_GB2312"/>
          <w:sz w:val="32"/>
          <w:szCs w:val="32"/>
        </w:rPr>
        <w:t>次会议建议，承办县政协十五届</w:t>
      </w:r>
      <w:r>
        <w:rPr>
          <w:rFonts w:hint="eastAsia" w:ascii="仿宋_GB2312" w:eastAsia="仿宋_GB2312"/>
          <w:sz w:val="32"/>
          <w:szCs w:val="32"/>
          <w:lang w:val="en-US" w:eastAsia="zh-CN"/>
        </w:rPr>
        <w:t>四</w:t>
      </w:r>
      <w:r>
        <w:rPr>
          <w:rFonts w:hint="eastAsia" w:ascii="仿宋_GB2312" w:eastAsia="仿宋_GB2312"/>
          <w:sz w:val="32"/>
          <w:szCs w:val="32"/>
        </w:rPr>
        <w:t>次会议提案</w:t>
      </w:r>
      <w:r>
        <w:rPr>
          <w:rFonts w:hint="eastAsia" w:ascii="仿宋_GB2312" w:eastAsia="仿宋_GB2312"/>
          <w:sz w:val="32"/>
          <w:szCs w:val="32"/>
          <w:lang w:val="en-US" w:eastAsia="zh-CN"/>
        </w:rPr>
        <w:t>1</w:t>
      </w:r>
      <w:r>
        <w:rPr>
          <w:rFonts w:hint="eastAsia" w:ascii="仿宋_GB2312" w:eastAsia="仿宋_GB2312"/>
          <w:sz w:val="32"/>
          <w:szCs w:val="32"/>
        </w:rPr>
        <w:t>件，办复率为100%。</w:t>
      </w:r>
      <w:r>
        <w:rPr>
          <w:rFonts w:hint="eastAsia" w:ascii="Times New Roman" w:hAnsi="Times New Roman" w:eastAsia="仿宋_GB2312" w:cs="仿宋_GB2312"/>
          <w:sz w:val="32"/>
          <w:szCs w:val="32"/>
        </w:rPr>
        <w:t>除涉及国家秘密、工作秘密的，所有建议提案办理复文或摘要以及办理总体情况均在县政府门户网站</w:t>
      </w:r>
      <w:r>
        <w:rPr>
          <w:rFonts w:hint="eastAsia" w:ascii="仿宋_GB2312" w:eastAsia="仿宋_GB2312"/>
          <w:sz w:val="32"/>
          <w:szCs w:val="32"/>
        </w:rPr>
        <w:t>建议提案办理专题</w:t>
      </w:r>
      <w:r>
        <w:rPr>
          <w:rFonts w:hint="eastAsia" w:ascii="Times New Roman" w:hAnsi="Times New Roman" w:eastAsia="仿宋_GB2312" w:cs="仿宋_GB2312"/>
          <w:sz w:val="32"/>
          <w:szCs w:val="32"/>
        </w:rPr>
        <w:t>中予以公开。</w:t>
      </w:r>
    </w:p>
    <w:p w14:paraId="4260AEC7">
      <w:pPr>
        <w:numPr>
          <w:ilvl w:val="0"/>
          <w:numId w:val="2"/>
        </w:numPr>
        <w:spacing w:line="600" w:lineRule="exact"/>
        <w:jc w:val="left"/>
        <w:rPr>
          <w:rFonts w:hint="eastAsia" w:ascii="楷体_GB2312" w:eastAsia="楷体_GB2312"/>
          <w:lang w:val="en-US" w:eastAsia="zh-CN"/>
        </w:rPr>
      </w:pPr>
      <w:r>
        <w:rPr>
          <w:rFonts w:hint="eastAsia" w:ascii="楷体_GB2312" w:eastAsia="楷体_GB2312"/>
          <w:lang w:val="en-US" w:eastAsia="zh-CN"/>
        </w:rPr>
        <w:t>政务公开工作创新情况</w:t>
      </w:r>
    </w:p>
    <w:p w14:paraId="09F92102">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政策解读方面，推行“集成式、场景化”解读新模式。改变以往单纯转发文件的做法，围绕一项政策或“一件事”办事流程，融合制作图文、简明问答等多种解读产品</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在主动公开方面，建立了分类分级管理机制。依据信息属性与公众需求，对法定公开内容实行清单化管理，确保应公开尽公开</w:t>
      </w:r>
      <w:r>
        <w:rPr>
          <w:rFonts w:hint="eastAsia" w:eastAsia="仿宋_GB2312" w:cs="仿宋_GB2312"/>
          <w:sz w:val="32"/>
          <w:szCs w:val="32"/>
          <w:lang w:val="en-US" w:eastAsia="zh-CN"/>
        </w:rPr>
        <w:t>。</w:t>
      </w:r>
    </w:p>
    <w:p w14:paraId="16DB4833">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楷体_GB2312" w:eastAsia="楷体_GB2312"/>
          <w:lang w:val="en-US" w:eastAsia="zh-CN"/>
        </w:rPr>
      </w:pPr>
      <w:r>
        <w:rPr>
          <w:rFonts w:hint="eastAsia" w:ascii="楷体_GB2312" w:eastAsia="楷体_GB2312"/>
          <w:lang w:val="en-US" w:eastAsia="zh-CN"/>
        </w:rPr>
        <w:t>（五）有关数据统计说明</w:t>
      </w:r>
    </w:p>
    <w:p w14:paraId="340D03AD">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1C1FCAF7">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0B7822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仿宋_GB2312" w:hAnsi="宋体" w:eastAsia="仿宋_GB2312" w:cs="仿宋_GB2312"/>
          <w:i w:val="0"/>
          <w:iCs w:val="0"/>
          <w:caps w:val="0"/>
          <w:snapToGrid w:val="0"/>
          <w:color w:val="333333"/>
          <w:spacing w:val="0"/>
          <w:kern w:val="0"/>
          <w:sz w:val="32"/>
          <w:szCs w:val="32"/>
          <w:shd w:val="clear" w:fill="FFFFFF"/>
          <w:lang w:val="en-US" w:eastAsia="zh-CN" w:bidi="ar-SA"/>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r>
        <w:rPr>
          <w:rFonts w:hint="default" w:ascii="Times New Roman" w:hAnsi="Times New Roman" w:eastAsia="仿宋_GB2312" w:cs="Times New Roman"/>
          <w:snapToGrid/>
          <w:kern w:val="2"/>
          <w:szCs w:val="32"/>
        </w:rPr>
        <w:t>。</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BB84E"/>
    <w:multiLevelType w:val="singleLevel"/>
    <w:tmpl w:val="A2ABB84E"/>
    <w:lvl w:ilvl="0" w:tentative="0">
      <w:start w:val="5"/>
      <w:numFmt w:val="chineseCounting"/>
      <w:suff w:val="nothing"/>
      <w:lvlText w:val="%1、"/>
      <w:lvlJc w:val="left"/>
      <w:rPr>
        <w:rFonts w:hint="eastAsia"/>
      </w:rPr>
    </w:lvl>
  </w:abstractNum>
  <w:abstractNum w:abstractNumId="1">
    <w:nsid w:val="79928200"/>
    <w:multiLevelType w:val="singleLevel"/>
    <w:tmpl w:val="7992820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1420A"/>
    <w:rsid w:val="0469401B"/>
    <w:rsid w:val="100A23EF"/>
    <w:rsid w:val="10D0642C"/>
    <w:rsid w:val="142B4CEC"/>
    <w:rsid w:val="16BB3184"/>
    <w:rsid w:val="1BAA0BEC"/>
    <w:rsid w:val="1E3A7AA3"/>
    <w:rsid w:val="1F2E3E01"/>
    <w:rsid w:val="25611D71"/>
    <w:rsid w:val="26DC5833"/>
    <w:rsid w:val="279369D8"/>
    <w:rsid w:val="2B750AC2"/>
    <w:rsid w:val="2BFF9809"/>
    <w:rsid w:val="31965CFD"/>
    <w:rsid w:val="34C93A39"/>
    <w:rsid w:val="35E93FCF"/>
    <w:rsid w:val="3A042228"/>
    <w:rsid w:val="3B51420A"/>
    <w:rsid w:val="3BF6846A"/>
    <w:rsid w:val="3C2D6FA3"/>
    <w:rsid w:val="3EFC83B3"/>
    <w:rsid w:val="407AEED5"/>
    <w:rsid w:val="40833636"/>
    <w:rsid w:val="45A2735C"/>
    <w:rsid w:val="4778BE70"/>
    <w:rsid w:val="49B26D3A"/>
    <w:rsid w:val="5AC42429"/>
    <w:rsid w:val="5CC826A5"/>
    <w:rsid w:val="5CF51EC3"/>
    <w:rsid w:val="5FFDE2C1"/>
    <w:rsid w:val="61231A32"/>
    <w:rsid w:val="617C1CB0"/>
    <w:rsid w:val="64145C3D"/>
    <w:rsid w:val="64F339C3"/>
    <w:rsid w:val="69821E2D"/>
    <w:rsid w:val="6F176B74"/>
    <w:rsid w:val="761977F9"/>
    <w:rsid w:val="765673B6"/>
    <w:rsid w:val="76A038F3"/>
    <w:rsid w:val="77F940C0"/>
    <w:rsid w:val="798D068F"/>
    <w:rsid w:val="F62FC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2024年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100</c:v>
                </c:pt>
              </c:numCache>
            </c:numRef>
          </c:val>
        </c:ser>
        <c:ser>
          <c:idx val="1"/>
          <c:order val="1"/>
          <c:tx>
            <c:strRef>
              <c:f>Sheet1!$C$1</c:f>
              <c:strCache>
                <c:ptCount val="1"/>
                <c:pt idx="0">
                  <c:v>2025年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130</c:v>
                </c:pt>
              </c:numCache>
            </c:numRef>
          </c:val>
        </c:ser>
        <c:dLbls>
          <c:showLegendKey val="0"/>
          <c:showVal val="1"/>
          <c:showCatName val="0"/>
          <c:showSerName val="0"/>
          <c:showPercent val="0"/>
          <c:showBubbleSize val="0"/>
        </c:dLbls>
        <c:gapWidth val="246"/>
        <c:overlap val="-28"/>
        <c:axId val="608071902"/>
        <c:axId val="866749361"/>
      </c:barChart>
      <c:catAx>
        <c:axId val="60807190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forceAA="0"/>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66749361"/>
        <c:crosses val="autoZero"/>
        <c:auto val="1"/>
        <c:lblAlgn val="ctr"/>
        <c:lblOffset val="100"/>
        <c:noMultiLvlLbl val="0"/>
      </c:catAx>
      <c:valAx>
        <c:axId val="866749361"/>
        <c:scaling>
          <c:orientation val="minMax"/>
        </c:scaling>
        <c:delete val="0"/>
        <c:axPos val="l"/>
        <c:majorGridlines>
          <c:spPr>
            <a:ln w="6350" cap="flat" cmpd="sng" algn="ctr">
              <a:solidFill>
                <a:schemeClr val="tx1">
                  <a:lumMod val="50000"/>
                  <a:lumOff val="50000"/>
                  <a:alpha val="250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forceAA="0"/>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08071902"/>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77055815935237"/>
          <c:y val="0.364976010966416"/>
          <c:w val="0.219748615253515"/>
          <c:h val="0.172892392049349"/>
        </c:manualLayout>
      </c:layout>
      <c:overlay val="0"/>
      <c:spPr>
        <a:noFill/>
        <a:ln>
          <a:noFill/>
        </a:ln>
        <a:effectLst/>
      </c:spPr>
      <c:txPr>
        <a:bodyPr rot="0" spcFirstLastPara="0" vertOverflow="ellipsis" vert="horz" wrap="square" anchor="ctr" anchorCtr="1" forceAA="0"/>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26b5f40-1461-4e6e-9290-037e2baaf80e}"/>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sz="12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3346</Words>
  <Characters>3505</Characters>
  <Lines>0</Lines>
  <Paragraphs>0</Paragraphs>
  <TotalTime>9</TotalTime>
  <ScaleCrop>false</ScaleCrop>
  <LinksUpToDate>false</LinksUpToDate>
  <CharactersWithSpaces>3505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2025-12-09T01:09:00Z</dcterms:created>
  <dc:creator>贩卖温柔.</dc:creator>
  <cp:lastModifiedBy>。</cp:lastModifiedBy>
  <dcterms:modified xsi:type="dcterms:W3CDTF">2026-02-03T01:40:17Z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E528EFAB6D8649F8BA91051B69215FD4_13</vt:lpwstr>
  </property>
  <property fmtid="{D5CDD505-2E9C-101B-9397-08002B2CF9AE}" pid="4" name="KSOTemplateDocerSaveRecord">
    <vt:lpwstr>eyJoZGlkIjoiNDA0NDljNmFiMzFkY2ZjZmQ4N2MzMDQyM2Q3NzlkMzMiLCJ1c2VySWQiOiI1MjQ4Mzc4MjkifQ==</vt:lpwstr>
  </property>
</Properties>
</file>