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67" w:rsidRDefault="00BA41F5">
      <w:pPr>
        <w:spacing w:line="600" w:lineRule="exact"/>
        <w:ind w:firstLine="0"/>
        <w:jc w:val="center"/>
        <w:rPr>
          <w:rFonts w:eastAsia="方正小标宋简体"/>
          <w:sz w:val="44"/>
          <w:szCs w:val="44"/>
        </w:rPr>
      </w:pPr>
      <w:r>
        <w:rPr>
          <w:rFonts w:eastAsia="方正小标宋简体"/>
          <w:sz w:val="44"/>
          <w:szCs w:val="44"/>
        </w:rPr>
        <w:t>高青</w:t>
      </w:r>
      <w:proofErr w:type="gramStart"/>
      <w:r>
        <w:rPr>
          <w:rFonts w:eastAsia="方正小标宋简体"/>
          <w:sz w:val="44"/>
          <w:szCs w:val="44"/>
        </w:rPr>
        <w:t>县唐坊镇</w:t>
      </w:r>
      <w:proofErr w:type="gramEnd"/>
      <w:r>
        <w:rPr>
          <w:rFonts w:eastAsia="方正小标宋简体"/>
          <w:sz w:val="44"/>
          <w:szCs w:val="44"/>
        </w:rPr>
        <w:t>人民政府</w:t>
      </w:r>
    </w:p>
    <w:p w:rsidR="00B36B67" w:rsidRDefault="00BA41F5">
      <w:pPr>
        <w:spacing w:line="600" w:lineRule="exact"/>
        <w:ind w:firstLine="0"/>
        <w:jc w:val="center"/>
        <w:rPr>
          <w:rFonts w:eastAsia="方正小标宋简体"/>
          <w:sz w:val="44"/>
          <w:szCs w:val="44"/>
        </w:rPr>
      </w:pPr>
      <w:r>
        <w:rPr>
          <w:rFonts w:eastAsia="方正小标宋简体"/>
          <w:sz w:val="44"/>
          <w:szCs w:val="44"/>
        </w:rPr>
        <w:t>2023</w:t>
      </w:r>
      <w:r>
        <w:rPr>
          <w:rFonts w:eastAsia="方正小标宋简体"/>
          <w:sz w:val="44"/>
          <w:szCs w:val="44"/>
        </w:rPr>
        <w:t>年政府信息公开工作年度报告</w:t>
      </w:r>
    </w:p>
    <w:p w:rsidR="00B36B67" w:rsidRDefault="00B36B67">
      <w:pPr>
        <w:spacing w:line="600" w:lineRule="exact"/>
        <w:ind w:firstLine="0"/>
        <w:jc w:val="center"/>
        <w:rPr>
          <w:rFonts w:eastAsia="方正小标宋简体"/>
          <w:sz w:val="44"/>
          <w:szCs w:val="44"/>
        </w:rPr>
      </w:pPr>
    </w:p>
    <w:p w:rsidR="00B36B67" w:rsidRDefault="00BA41F5">
      <w:pPr>
        <w:spacing w:line="60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B36B67" w:rsidRDefault="00BA41F5">
      <w:pPr>
        <w:spacing w:line="600" w:lineRule="exact"/>
        <w:ind w:firstLineChars="200" w:firstLine="640"/>
        <w:rPr>
          <w:rFonts w:eastAsia="仿宋_GB2312"/>
        </w:rPr>
      </w:pPr>
      <w:r>
        <w:rPr>
          <w:rFonts w:eastAsia="仿宋_GB2312"/>
        </w:rPr>
        <w:t>报告中所列数据统计期限自</w:t>
      </w:r>
      <w:r>
        <w:rPr>
          <w:rFonts w:eastAsia="仿宋_GB2312"/>
        </w:rPr>
        <w:t>2023</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2023</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w:t>
      </w:r>
      <w:proofErr w:type="gramStart"/>
      <w:r>
        <w:rPr>
          <w:rFonts w:eastAsia="仿宋_GB2312"/>
        </w:rPr>
        <w:t>县唐坊镇</w:t>
      </w:r>
      <w:proofErr w:type="gramEnd"/>
      <w:r w:rsidR="00A8739B">
        <w:rPr>
          <w:rFonts w:eastAsia="仿宋_GB2312" w:hint="eastAsia"/>
        </w:rPr>
        <w:t>人民政府</w:t>
      </w:r>
      <w:r>
        <w:rPr>
          <w:rFonts w:eastAsia="仿宋_GB2312"/>
        </w:rPr>
        <w:t>党政办公室联系（地址：山东省淄博市高青县</w:t>
      </w:r>
      <w:proofErr w:type="gramStart"/>
      <w:r>
        <w:rPr>
          <w:rFonts w:eastAsia="仿宋_GB2312"/>
        </w:rPr>
        <w:t>唐坊镇唐坊</w:t>
      </w:r>
      <w:proofErr w:type="gramEnd"/>
      <w:r>
        <w:rPr>
          <w:rFonts w:eastAsia="仿宋_GB2312"/>
        </w:rPr>
        <w:t>村；邮编：</w:t>
      </w:r>
      <w:r>
        <w:rPr>
          <w:rFonts w:eastAsia="仿宋_GB2312"/>
        </w:rPr>
        <w:t>256302</w:t>
      </w:r>
      <w:r>
        <w:rPr>
          <w:rFonts w:eastAsia="仿宋_GB2312"/>
        </w:rPr>
        <w:t>；电话：</w:t>
      </w:r>
      <w:r>
        <w:rPr>
          <w:rFonts w:eastAsia="仿宋_GB2312"/>
        </w:rPr>
        <w:t>0533-6355730</w:t>
      </w:r>
      <w:r>
        <w:rPr>
          <w:rFonts w:eastAsia="仿宋_GB2312"/>
        </w:rPr>
        <w:t>；传真：</w:t>
      </w:r>
      <w:r>
        <w:rPr>
          <w:rFonts w:eastAsia="仿宋_GB2312"/>
        </w:rPr>
        <w:t>0533-6355704</w:t>
      </w:r>
      <w:r>
        <w:rPr>
          <w:rFonts w:eastAsia="仿宋_GB2312"/>
        </w:rPr>
        <w:t>；邮箱：</w:t>
      </w:r>
      <w:r>
        <w:rPr>
          <w:rFonts w:eastAsia="仿宋_GB2312"/>
        </w:rPr>
        <w:t>gqxtfz@zb.shandong.cn</w:t>
      </w:r>
      <w:r>
        <w:rPr>
          <w:rFonts w:eastAsia="仿宋_GB2312"/>
        </w:rPr>
        <w:t>）。</w:t>
      </w:r>
    </w:p>
    <w:p w:rsidR="00B36B67" w:rsidRDefault="00BA41F5">
      <w:pPr>
        <w:spacing w:line="600" w:lineRule="exact"/>
        <w:ind w:firstLineChars="200" w:firstLine="640"/>
        <w:rPr>
          <w:rFonts w:eastAsia="黑体"/>
          <w:szCs w:val="32"/>
        </w:rPr>
      </w:pPr>
      <w:r>
        <w:rPr>
          <w:rFonts w:eastAsia="黑体"/>
          <w:szCs w:val="32"/>
        </w:rPr>
        <w:t>一、总体情况</w:t>
      </w:r>
    </w:p>
    <w:p w:rsidR="00B36B67" w:rsidRDefault="00BA41F5">
      <w:pPr>
        <w:spacing w:line="600" w:lineRule="exact"/>
        <w:ind w:firstLineChars="200" w:firstLine="640"/>
        <w:rPr>
          <w:rFonts w:eastAsia="仿宋_GB2312"/>
          <w:szCs w:val="32"/>
        </w:rPr>
      </w:pPr>
      <w:r>
        <w:rPr>
          <w:rFonts w:eastAsia="仿宋_GB2312"/>
          <w:szCs w:val="32"/>
        </w:rPr>
        <w:t>2023</w:t>
      </w:r>
      <w:r>
        <w:rPr>
          <w:rFonts w:eastAsia="仿宋_GB2312"/>
          <w:szCs w:val="32"/>
        </w:rPr>
        <w:t>年，</w:t>
      </w:r>
      <w:r w:rsidR="00CB2FA5">
        <w:rPr>
          <w:rFonts w:eastAsia="仿宋_GB2312" w:hint="eastAsia"/>
          <w:szCs w:val="32"/>
        </w:rPr>
        <w:t>高青</w:t>
      </w:r>
      <w:proofErr w:type="gramStart"/>
      <w:r w:rsidR="00CB2FA5">
        <w:rPr>
          <w:rFonts w:eastAsia="仿宋_GB2312" w:hint="eastAsia"/>
          <w:szCs w:val="32"/>
        </w:rPr>
        <w:t>县</w:t>
      </w:r>
      <w:r>
        <w:rPr>
          <w:rFonts w:eastAsia="仿宋_GB2312"/>
          <w:szCs w:val="32"/>
        </w:rPr>
        <w:t>唐坊镇</w:t>
      </w:r>
      <w:proofErr w:type="gramEnd"/>
      <w:r w:rsidR="003C435A">
        <w:rPr>
          <w:rFonts w:eastAsia="仿宋_GB2312" w:hint="eastAsia"/>
          <w:szCs w:val="32"/>
        </w:rPr>
        <w:t>人民政府</w:t>
      </w:r>
      <w:r>
        <w:rPr>
          <w:rFonts w:eastAsia="仿宋_GB2312"/>
          <w:szCs w:val="32"/>
        </w:rPr>
        <w:t>坚持以习近平新时代中国特色社会主义思想为指导，认真落实国家和省市县政务公开工作部署，</w:t>
      </w:r>
      <w:r w:rsidR="00CB2FA5">
        <w:rPr>
          <w:rFonts w:eastAsia="仿宋_GB2312" w:hint="eastAsia"/>
          <w:szCs w:val="32"/>
        </w:rPr>
        <w:t>创新工作举措，</w:t>
      </w:r>
      <w:r>
        <w:rPr>
          <w:rFonts w:eastAsia="仿宋_GB2312"/>
          <w:color w:val="000000" w:themeColor="text1"/>
          <w:szCs w:val="32"/>
        </w:rPr>
        <w:t>加大公开力度，积极回应群众关切，</w:t>
      </w:r>
      <w:r w:rsidR="00CB2FA5">
        <w:rPr>
          <w:rFonts w:eastAsia="仿宋_GB2312" w:hint="eastAsia"/>
          <w:color w:val="000000" w:themeColor="text1"/>
          <w:szCs w:val="32"/>
        </w:rPr>
        <w:t>全面</w:t>
      </w:r>
      <w:r>
        <w:rPr>
          <w:rFonts w:eastAsia="仿宋_GB2312"/>
          <w:color w:val="000000" w:themeColor="text1"/>
          <w:szCs w:val="32"/>
        </w:rPr>
        <w:t>提高政务公开</w:t>
      </w:r>
      <w:r w:rsidR="00CB2FA5">
        <w:rPr>
          <w:rFonts w:eastAsia="仿宋_GB2312" w:hint="eastAsia"/>
          <w:color w:val="000000" w:themeColor="text1"/>
          <w:szCs w:val="32"/>
        </w:rPr>
        <w:t>工作质效</w:t>
      </w:r>
      <w:r>
        <w:rPr>
          <w:rFonts w:eastAsia="仿宋_GB2312"/>
          <w:color w:val="000000" w:themeColor="text1"/>
          <w:szCs w:val="32"/>
        </w:rPr>
        <w:t>。</w:t>
      </w:r>
    </w:p>
    <w:p w:rsidR="00B36B67" w:rsidRDefault="00BA41F5">
      <w:pPr>
        <w:spacing w:line="600" w:lineRule="exact"/>
        <w:jc w:val="left"/>
        <w:rPr>
          <w:rFonts w:eastAsia="楷体_GB2312"/>
        </w:rPr>
      </w:pPr>
      <w:r>
        <w:rPr>
          <w:rFonts w:eastAsia="楷体_GB2312"/>
        </w:rPr>
        <w:lastRenderedPageBreak/>
        <w:t>（一）主动公开</w:t>
      </w:r>
    </w:p>
    <w:p w:rsidR="00DC0B12" w:rsidRDefault="00CB2FA5">
      <w:pPr>
        <w:spacing w:line="600" w:lineRule="exact"/>
        <w:jc w:val="left"/>
        <w:rPr>
          <w:rFonts w:eastAsia="仿宋_GB2312"/>
        </w:rPr>
      </w:pPr>
      <w:r>
        <w:rPr>
          <w:rFonts w:eastAsia="仿宋_GB2312"/>
        </w:rPr>
        <w:t>规范政务公开</w:t>
      </w:r>
      <w:r>
        <w:rPr>
          <w:rFonts w:eastAsia="仿宋_GB2312" w:hint="eastAsia"/>
        </w:rPr>
        <w:t>工作流程，</w:t>
      </w:r>
      <w:r w:rsidR="00BA41F5">
        <w:rPr>
          <w:rFonts w:eastAsia="仿宋_GB2312"/>
        </w:rPr>
        <w:t>制定《</w:t>
      </w:r>
      <w:r w:rsidR="00BA41F5">
        <w:rPr>
          <w:rFonts w:eastAsia="仿宋_GB2312"/>
        </w:rPr>
        <w:t>2023</w:t>
      </w:r>
      <w:r w:rsidR="00BA41F5">
        <w:rPr>
          <w:rFonts w:eastAsia="仿宋_GB2312"/>
        </w:rPr>
        <w:t>年高青县唐坊镇政务公开工作细则》</w:t>
      </w:r>
      <w:r>
        <w:rPr>
          <w:rFonts w:eastAsia="仿宋_GB2312" w:hint="eastAsia"/>
        </w:rPr>
        <w:t>，以标准化流程推动任务落实。</w:t>
      </w:r>
      <w:r w:rsidR="00A8739B">
        <w:rPr>
          <w:rFonts w:eastAsia="仿宋_GB2312" w:hint="eastAsia"/>
        </w:rPr>
        <w:t>年内</w:t>
      </w:r>
      <w:r w:rsidR="00BA41F5">
        <w:rPr>
          <w:rFonts w:eastAsia="仿宋_GB2312"/>
        </w:rPr>
        <w:t>主动公开政府信息</w:t>
      </w:r>
      <w:r w:rsidR="00BA41F5" w:rsidRPr="00165CD1">
        <w:rPr>
          <w:rFonts w:eastAsia="仿宋_GB2312"/>
        </w:rPr>
        <w:t>37</w:t>
      </w:r>
      <w:r w:rsidR="00BA41F5" w:rsidRPr="00165CD1">
        <w:rPr>
          <w:rFonts w:eastAsia="仿宋_GB2312" w:hint="eastAsia"/>
        </w:rPr>
        <w:t>8</w:t>
      </w:r>
      <w:r w:rsidR="00BA41F5" w:rsidRPr="00165CD1">
        <w:rPr>
          <w:rFonts w:eastAsia="仿宋_GB2312"/>
        </w:rPr>
        <w:t>条，</w:t>
      </w:r>
      <w:r w:rsidR="00BA41F5">
        <w:rPr>
          <w:rFonts w:eastAsia="仿宋_GB2312"/>
        </w:rPr>
        <w:t>较上年度增加</w:t>
      </w:r>
      <w:r w:rsidR="00BA41F5">
        <w:rPr>
          <w:rFonts w:eastAsia="仿宋_GB2312"/>
        </w:rPr>
        <w:t>6</w:t>
      </w:r>
      <w:r w:rsidR="00BA41F5">
        <w:rPr>
          <w:rFonts w:eastAsia="仿宋_GB2312"/>
        </w:rPr>
        <w:t>％</w:t>
      </w:r>
      <w:r w:rsidR="00DC0B12">
        <w:rPr>
          <w:rFonts w:eastAsia="仿宋_GB2312" w:hint="eastAsia"/>
        </w:rPr>
        <w:t>。持续做好</w:t>
      </w:r>
      <w:r>
        <w:rPr>
          <w:rFonts w:eastAsia="仿宋_GB2312" w:hint="eastAsia"/>
        </w:rPr>
        <w:t>安全生产、食品监管、环境保护等重点领域公开</w:t>
      </w:r>
      <w:r w:rsidR="00DC0B12">
        <w:rPr>
          <w:rFonts w:eastAsia="仿宋_GB2312" w:hint="eastAsia"/>
        </w:rPr>
        <w:t>，累计公开信息</w:t>
      </w:r>
      <w:r w:rsidR="00DC0B12">
        <w:rPr>
          <w:rFonts w:eastAsia="仿宋_GB2312" w:hint="eastAsia"/>
        </w:rPr>
        <w:t>150</w:t>
      </w:r>
      <w:r>
        <w:rPr>
          <w:rFonts w:eastAsia="仿宋_GB2312" w:hint="eastAsia"/>
        </w:rPr>
        <w:t>余条</w:t>
      </w:r>
      <w:r w:rsidR="00DC0B12">
        <w:rPr>
          <w:rFonts w:eastAsia="仿宋_GB2312" w:hint="eastAsia"/>
        </w:rPr>
        <w:t>，占全年公开信息量的</w:t>
      </w:r>
      <w:r w:rsidR="00DC0B12">
        <w:rPr>
          <w:rFonts w:eastAsia="仿宋_GB2312" w:hint="eastAsia"/>
        </w:rPr>
        <w:t>40%</w:t>
      </w:r>
      <w:r w:rsidR="00DC0B12">
        <w:rPr>
          <w:rFonts w:eastAsia="仿宋_GB2312" w:hint="eastAsia"/>
        </w:rPr>
        <w:t>。坚持将政策解读作为政策文件流转审签的必备流程，发布解读材料</w:t>
      </w:r>
      <w:r w:rsidR="00DC0B12">
        <w:rPr>
          <w:rFonts w:eastAsia="仿宋_GB2312" w:hint="eastAsia"/>
        </w:rPr>
        <w:t>3</w:t>
      </w:r>
      <w:r w:rsidR="00562F4D">
        <w:rPr>
          <w:rFonts w:eastAsia="仿宋_GB2312" w:hint="eastAsia"/>
        </w:rPr>
        <w:t>篇</w:t>
      </w:r>
      <w:bookmarkStart w:id="0" w:name="_GoBack"/>
      <w:bookmarkEnd w:id="0"/>
      <w:r w:rsidR="00DC0B12">
        <w:rPr>
          <w:rFonts w:eastAsia="仿宋_GB2312" w:hint="eastAsia"/>
        </w:rPr>
        <w:t>。主动回应群众诉求，办理</w:t>
      </w:r>
      <w:r w:rsidR="00DC0B12">
        <w:rPr>
          <w:rFonts w:eastAsia="仿宋_GB2312"/>
        </w:rPr>
        <w:t>12345</w:t>
      </w:r>
      <w:r w:rsidR="00DC0B12">
        <w:rPr>
          <w:rFonts w:eastAsia="仿宋_GB2312"/>
        </w:rPr>
        <w:t>热线</w:t>
      </w:r>
      <w:r w:rsidR="00DC0B12">
        <w:rPr>
          <w:rFonts w:eastAsia="仿宋_GB2312" w:hint="eastAsia"/>
        </w:rPr>
        <w:t>群众诉求</w:t>
      </w:r>
      <w:r w:rsidR="00DC0B12">
        <w:rPr>
          <w:rFonts w:eastAsia="仿宋_GB2312" w:hint="eastAsia"/>
        </w:rPr>
        <w:t>1600</w:t>
      </w:r>
      <w:r w:rsidR="00DC0B12">
        <w:rPr>
          <w:rFonts w:eastAsia="仿宋_GB2312" w:hint="eastAsia"/>
        </w:rPr>
        <w:t>余件</w:t>
      </w:r>
      <w:r w:rsidR="00DC0B12">
        <w:rPr>
          <w:rFonts w:eastAsia="仿宋_GB2312"/>
        </w:rPr>
        <w:t>，群众满意率</w:t>
      </w:r>
      <w:r w:rsidR="00DC0B12">
        <w:rPr>
          <w:rFonts w:eastAsia="仿宋_GB2312"/>
        </w:rPr>
        <w:t>93.4%</w:t>
      </w:r>
      <w:r w:rsidR="00DC0B12">
        <w:rPr>
          <w:rFonts w:eastAsia="仿宋_GB2312"/>
        </w:rPr>
        <w:t>。</w:t>
      </w:r>
    </w:p>
    <w:p w:rsidR="00B36B67" w:rsidRDefault="00BA41F5">
      <w:pPr>
        <w:spacing w:line="600" w:lineRule="exact"/>
        <w:jc w:val="left"/>
        <w:rPr>
          <w:rFonts w:eastAsia="仿宋_GB2312"/>
        </w:rPr>
      </w:pPr>
      <w:r>
        <w:rPr>
          <w:noProof/>
        </w:rPr>
        <w:drawing>
          <wp:anchor distT="0" distB="0" distL="114300" distR="114300" simplePos="0" relativeHeight="251659264" behindDoc="1" locked="0" layoutInCell="1" allowOverlap="1">
            <wp:simplePos x="0" y="0"/>
            <wp:positionH relativeFrom="column">
              <wp:posOffset>408305</wp:posOffset>
            </wp:positionH>
            <wp:positionV relativeFrom="paragraph">
              <wp:posOffset>354965</wp:posOffset>
            </wp:positionV>
            <wp:extent cx="4826000" cy="2743200"/>
            <wp:effectExtent l="0" t="0" r="12700" b="19050"/>
            <wp:wrapNone/>
            <wp:docPr id="5" name="图表 4"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C0B12" w:rsidRDefault="00DC0B12">
      <w:pPr>
        <w:spacing w:line="600" w:lineRule="exact"/>
        <w:jc w:val="left"/>
        <w:rPr>
          <w:rFonts w:eastAsia="仿宋_GB2312"/>
        </w:rPr>
      </w:pPr>
    </w:p>
    <w:p w:rsidR="00DC0B12" w:rsidRDefault="00DC0B12">
      <w:pPr>
        <w:spacing w:line="600" w:lineRule="exact"/>
        <w:jc w:val="left"/>
        <w:rPr>
          <w:rFonts w:eastAsia="仿宋_GB2312"/>
        </w:rPr>
      </w:pPr>
    </w:p>
    <w:p w:rsidR="00DC0B12" w:rsidRDefault="00DC0B12">
      <w:pPr>
        <w:spacing w:line="600" w:lineRule="exact"/>
        <w:jc w:val="left"/>
        <w:rPr>
          <w:rFonts w:eastAsia="仿宋_GB2312"/>
        </w:rPr>
      </w:pPr>
    </w:p>
    <w:p w:rsidR="00B36B67" w:rsidRDefault="00B36B67">
      <w:pPr>
        <w:spacing w:line="600" w:lineRule="exact"/>
        <w:jc w:val="left"/>
        <w:rPr>
          <w:rFonts w:eastAsia="仿宋_GB2312"/>
        </w:rPr>
      </w:pPr>
    </w:p>
    <w:p w:rsidR="00B36B67" w:rsidRDefault="00B36B67">
      <w:pPr>
        <w:spacing w:line="600" w:lineRule="exact"/>
        <w:jc w:val="left"/>
        <w:rPr>
          <w:rFonts w:eastAsia="仿宋_GB2312"/>
        </w:rPr>
      </w:pPr>
    </w:p>
    <w:p w:rsidR="00B36B67" w:rsidRDefault="00B36B67">
      <w:pPr>
        <w:spacing w:line="600" w:lineRule="exact"/>
        <w:jc w:val="left"/>
        <w:rPr>
          <w:rFonts w:eastAsia="仿宋_GB2312"/>
        </w:rPr>
      </w:pPr>
    </w:p>
    <w:p w:rsidR="00B36B67" w:rsidRDefault="00B36B67">
      <w:pPr>
        <w:spacing w:line="600" w:lineRule="exact"/>
        <w:jc w:val="left"/>
        <w:rPr>
          <w:rFonts w:eastAsia="仿宋_GB2312"/>
        </w:rPr>
      </w:pPr>
    </w:p>
    <w:p w:rsidR="00857B77" w:rsidRPr="00857B77" w:rsidRDefault="00BA41F5">
      <w:pPr>
        <w:spacing w:line="600" w:lineRule="exact"/>
        <w:ind w:firstLineChars="200" w:firstLine="640"/>
        <w:jc w:val="left"/>
        <w:rPr>
          <w:rFonts w:eastAsia="仿宋_GB2312"/>
        </w:rPr>
      </w:pPr>
      <w:r>
        <w:rPr>
          <w:rFonts w:eastAsia="楷体_GB2312"/>
        </w:rPr>
        <w:t>（二）依申请公开</w:t>
      </w:r>
    </w:p>
    <w:p w:rsidR="00DC0B12" w:rsidRDefault="00857B77" w:rsidP="00165CD1">
      <w:pPr>
        <w:spacing w:line="560" w:lineRule="exact"/>
        <w:ind w:firstLineChars="200" w:firstLine="640"/>
        <w:rPr>
          <w:rFonts w:eastAsia="仿宋_GB2312"/>
          <w:szCs w:val="32"/>
        </w:rPr>
      </w:pPr>
      <w:r w:rsidRPr="00857B77">
        <w:rPr>
          <w:rFonts w:eastAsia="仿宋_GB2312" w:hint="eastAsia"/>
        </w:rPr>
        <w:t>加强对政府信息</w:t>
      </w:r>
      <w:r>
        <w:rPr>
          <w:rFonts w:eastAsia="仿宋_GB2312" w:hint="eastAsia"/>
        </w:rPr>
        <w:t>公开申请</w:t>
      </w:r>
      <w:r w:rsidRPr="00857B77">
        <w:rPr>
          <w:rFonts w:eastAsia="仿宋_GB2312" w:hint="eastAsia"/>
        </w:rPr>
        <w:t>接收渠道的规范管理，</w:t>
      </w:r>
      <w:r>
        <w:rPr>
          <w:rFonts w:eastAsia="仿宋_GB2312" w:hint="eastAsia"/>
        </w:rPr>
        <w:t>多渠道公开现场申请、信函申请、网上申请的流程、地点、联系方式，优化</w:t>
      </w:r>
      <w:r w:rsidRPr="00857B77">
        <w:rPr>
          <w:rFonts w:eastAsia="仿宋_GB2312" w:hint="eastAsia"/>
        </w:rPr>
        <w:t>内部管理制度，确保政府信息</w:t>
      </w:r>
      <w:r>
        <w:rPr>
          <w:rFonts w:eastAsia="仿宋_GB2312" w:hint="eastAsia"/>
        </w:rPr>
        <w:t>公开申请接收渠道</w:t>
      </w:r>
      <w:r w:rsidRPr="00857B77">
        <w:rPr>
          <w:rFonts w:eastAsia="仿宋_GB2312" w:hint="eastAsia"/>
        </w:rPr>
        <w:t>畅通。</w:t>
      </w:r>
      <w:r w:rsidRPr="007503E1">
        <w:rPr>
          <w:rFonts w:ascii="仿宋_GB2312" w:eastAsia="仿宋_GB2312" w:hint="eastAsia"/>
          <w:szCs w:val="32"/>
        </w:rPr>
        <w:t>2023年未收到政府信息公开申请，</w:t>
      </w:r>
      <w:r w:rsidR="00C17A31">
        <w:rPr>
          <w:rFonts w:ascii="仿宋_GB2312" w:eastAsia="仿宋_GB2312" w:hint="eastAsia"/>
          <w:szCs w:val="32"/>
        </w:rPr>
        <w:t>上年度结转1件。</w:t>
      </w:r>
      <w:proofErr w:type="gramStart"/>
      <w:r w:rsidR="00A41CE1" w:rsidRPr="00A86E69">
        <w:rPr>
          <w:rFonts w:ascii="仿宋_GB2312" w:eastAsia="仿宋_GB2312" w:hint="eastAsia"/>
          <w:szCs w:val="32"/>
        </w:rPr>
        <w:t>作出</w:t>
      </w:r>
      <w:proofErr w:type="gramEnd"/>
      <w:r w:rsidR="00A41CE1" w:rsidRPr="00A86E69">
        <w:rPr>
          <w:rFonts w:ascii="仿宋_GB2312" w:eastAsia="仿宋_GB2312" w:hint="eastAsia"/>
          <w:szCs w:val="32"/>
        </w:rPr>
        <w:t>政府信息公开申</w:t>
      </w:r>
      <w:r w:rsidR="00A41CE1" w:rsidRPr="00A86E69">
        <w:rPr>
          <w:rFonts w:ascii="仿宋_GB2312" w:eastAsia="仿宋_GB2312" w:hint="eastAsia"/>
          <w:szCs w:val="32"/>
        </w:rPr>
        <w:lastRenderedPageBreak/>
        <w:t>请答复</w:t>
      </w:r>
      <w:r w:rsidR="00A41CE1">
        <w:rPr>
          <w:rFonts w:ascii="仿宋_GB2312" w:eastAsia="仿宋_GB2312" w:hint="eastAsia"/>
          <w:szCs w:val="32"/>
        </w:rPr>
        <w:t>1</w:t>
      </w:r>
      <w:r w:rsidR="00A41CE1" w:rsidRPr="00A86E69">
        <w:rPr>
          <w:rFonts w:ascii="仿宋_GB2312" w:eastAsia="仿宋_GB2312" w:hint="eastAsia"/>
          <w:szCs w:val="32"/>
        </w:rPr>
        <w:t>件</w:t>
      </w:r>
      <w:r w:rsidR="00A41CE1">
        <w:rPr>
          <w:rFonts w:ascii="仿宋_GB2312" w:eastAsia="仿宋_GB2312" w:hint="eastAsia"/>
          <w:szCs w:val="32"/>
        </w:rPr>
        <w:t>（</w:t>
      </w:r>
      <w:r w:rsidR="00A41CE1" w:rsidRPr="007503E1">
        <w:rPr>
          <w:rFonts w:ascii="仿宋_GB2312" w:eastAsia="仿宋_GB2312" w:hint="eastAsia"/>
          <w:szCs w:val="32"/>
        </w:rPr>
        <w:t>上年度结转</w:t>
      </w:r>
      <w:r w:rsidR="00A41CE1">
        <w:rPr>
          <w:rFonts w:ascii="仿宋_GB2312" w:eastAsia="仿宋_GB2312" w:hint="eastAsia"/>
          <w:szCs w:val="32"/>
        </w:rPr>
        <w:t>1</w:t>
      </w:r>
      <w:r w:rsidR="00A41CE1" w:rsidRPr="007503E1">
        <w:rPr>
          <w:rFonts w:ascii="仿宋_GB2312" w:eastAsia="仿宋_GB2312" w:hint="eastAsia"/>
          <w:szCs w:val="32"/>
        </w:rPr>
        <w:t>件</w:t>
      </w:r>
      <w:r w:rsidR="00A41CE1">
        <w:rPr>
          <w:rFonts w:ascii="仿宋_GB2312" w:eastAsia="仿宋_GB2312" w:hint="eastAsia"/>
          <w:szCs w:val="32"/>
        </w:rPr>
        <w:t>）</w:t>
      </w:r>
      <w:r w:rsidR="00C17A31">
        <w:rPr>
          <w:rFonts w:ascii="仿宋_GB2312" w:eastAsia="仿宋_GB2312" w:hint="eastAsia"/>
          <w:szCs w:val="32"/>
        </w:rPr>
        <w:t>，其中部分公开1件。</w:t>
      </w:r>
      <w:r>
        <w:rPr>
          <w:rFonts w:eastAsia="仿宋_GB2312"/>
          <w:szCs w:val="32"/>
        </w:rPr>
        <w:t>未因政府信息公开被申请行政复议、提起行政诉讼。</w:t>
      </w:r>
    </w:p>
    <w:p w:rsidR="00B36B67" w:rsidRDefault="00BA41F5">
      <w:pPr>
        <w:spacing w:line="600" w:lineRule="exact"/>
        <w:jc w:val="left"/>
        <w:rPr>
          <w:rFonts w:eastAsia="楷体_GB2312"/>
        </w:rPr>
      </w:pPr>
      <w:r>
        <w:rPr>
          <w:rFonts w:eastAsia="楷体_GB2312"/>
        </w:rPr>
        <w:t>（三）政府信息管理</w:t>
      </w:r>
    </w:p>
    <w:p w:rsidR="00165CD1" w:rsidRDefault="00857B77" w:rsidP="00857B77">
      <w:pPr>
        <w:spacing w:line="600" w:lineRule="exact"/>
        <w:ind w:firstLineChars="200" w:firstLine="640"/>
        <w:jc w:val="left"/>
        <w:rPr>
          <w:rFonts w:eastAsia="仿宋_GB2312"/>
        </w:rPr>
      </w:pPr>
      <w:r>
        <w:rPr>
          <w:rFonts w:eastAsia="仿宋_GB2312"/>
        </w:rPr>
        <w:t>优化政府信息主动公开基本目录，</w:t>
      </w:r>
      <w:r w:rsidR="00165CD1">
        <w:rPr>
          <w:rFonts w:eastAsia="仿宋_GB2312" w:hint="eastAsia"/>
        </w:rPr>
        <w:t>删除目录</w:t>
      </w:r>
      <w:r w:rsidR="00165CD1">
        <w:rPr>
          <w:rFonts w:eastAsia="仿宋_GB2312" w:hint="eastAsia"/>
        </w:rPr>
        <w:t>3</w:t>
      </w:r>
      <w:r w:rsidR="00165CD1">
        <w:rPr>
          <w:rFonts w:eastAsia="仿宋_GB2312" w:hint="eastAsia"/>
        </w:rPr>
        <w:t>项，新增</w:t>
      </w:r>
      <w:r w:rsidR="00165CD1">
        <w:rPr>
          <w:rFonts w:eastAsia="仿宋_GB2312"/>
        </w:rPr>
        <w:t>机关简介、领导信息、</w:t>
      </w:r>
      <w:r w:rsidR="00165CD1">
        <w:rPr>
          <w:rFonts w:eastAsia="仿宋_GB2312" w:hint="eastAsia"/>
        </w:rPr>
        <w:t>内设机构、下属单位等目录</w:t>
      </w:r>
      <w:r w:rsidR="00165CD1">
        <w:rPr>
          <w:rFonts w:eastAsia="仿宋_GB2312" w:hint="eastAsia"/>
        </w:rPr>
        <w:t>5</w:t>
      </w:r>
      <w:r w:rsidR="00165CD1">
        <w:rPr>
          <w:rFonts w:eastAsia="仿宋_GB2312" w:hint="eastAsia"/>
        </w:rPr>
        <w:t>项。</w:t>
      </w:r>
      <w:r w:rsidR="00573758">
        <w:rPr>
          <w:rFonts w:eastAsia="仿宋_GB2312" w:hint="eastAsia"/>
        </w:rPr>
        <w:t>持续做好政策文件梳理归集</w:t>
      </w:r>
      <w:r w:rsidR="00165CD1">
        <w:rPr>
          <w:rFonts w:eastAsia="仿宋_GB2312" w:hint="eastAsia"/>
        </w:rPr>
        <w:t>，对政府网站</w:t>
      </w:r>
      <w:r w:rsidR="00573758">
        <w:rPr>
          <w:rFonts w:eastAsia="仿宋_GB2312" w:hint="eastAsia"/>
        </w:rPr>
        <w:t>已</w:t>
      </w:r>
      <w:r w:rsidR="00165CD1">
        <w:rPr>
          <w:rFonts w:eastAsia="仿宋_GB2312" w:hint="eastAsia"/>
        </w:rPr>
        <w:t>公开的文件</w:t>
      </w:r>
      <w:r w:rsidR="00573758">
        <w:rPr>
          <w:rFonts w:eastAsia="仿宋_GB2312" w:hint="eastAsia"/>
        </w:rPr>
        <w:t>进行格式规范，做好</w:t>
      </w:r>
      <w:r w:rsidR="00165CD1">
        <w:rPr>
          <w:rFonts w:eastAsia="仿宋_GB2312" w:hint="eastAsia"/>
        </w:rPr>
        <w:t>字体字号</w:t>
      </w:r>
      <w:r w:rsidR="00573758">
        <w:rPr>
          <w:rFonts w:eastAsia="仿宋_GB2312" w:hint="eastAsia"/>
        </w:rPr>
        <w:t>修改</w:t>
      </w:r>
      <w:r w:rsidR="00165CD1">
        <w:rPr>
          <w:rFonts w:eastAsia="仿宋_GB2312" w:hint="eastAsia"/>
        </w:rPr>
        <w:t>、有效性标注等</w:t>
      </w:r>
      <w:r w:rsidR="00573758">
        <w:rPr>
          <w:rFonts w:eastAsia="仿宋_GB2312" w:hint="eastAsia"/>
        </w:rPr>
        <w:t>，年内公开政策文件</w:t>
      </w:r>
      <w:r w:rsidR="00573758">
        <w:rPr>
          <w:rFonts w:eastAsia="仿宋_GB2312" w:hint="eastAsia"/>
        </w:rPr>
        <w:t>2</w:t>
      </w:r>
      <w:r w:rsidR="00573758">
        <w:rPr>
          <w:rFonts w:eastAsia="仿宋_GB2312" w:hint="eastAsia"/>
        </w:rPr>
        <w:t>件。严格政府信息保密审查，</w:t>
      </w:r>
      <w:r w:rsidR="00573758">
        <w:rPr>
          <w:rFonts w:eastAsia="仿宋_GB2312"/>
        </w:rPr>
        <w:t>设有专职人员负责信息</w:t>
      </w:r>
      <w:r w:rsidR="00573758">
        <w:rPr>
          <w:rFonts w:eastAsia="仿宋_GB2312" w:hint="eastAsia"/>
        </w:rPr>
        <w:t>审核发布</w:t>
      </w:r>
      <w:r w:rsidR="00573758">
        <w:rPr>
          <w:rFonts w:eastAsia="仿宋_GB2312"/>
        </w:rPr>
        <w:t>，</w:t>
      </w:r>
      <w:r w:rsidR="00573758">
        <w:rPr>
          <w:rFonts w:eastAsia="仿宋_GB2312" w:hint="eastAsia"/>
        </w:rPr>
        <w:t>确保不发生泄密问题。</w:t>
      </w:r>
    </w:p>
    <w:p w:rsidR="00573758" w:rsidRDefault="00BA41F5" w:rsidP="00573758">
      <w:pPr>
        <w:spacing w:line="600" w:lineRule="exact"/>
        <w:ind w:firstLineChars="200" w:firstLine="640"/>
        <w:jc w:val="left"/>
        <w:rPr>
          <w:rFonts w:eastAsia="楷体_GB2312"/>
        </w:rPr>
      </w:pPr>
      <w:r>
        <w:rPr>
          <w:rFonts w:eastAsia="楷体_GB2312"/>
        </w:rPr>
        <w:t>（四）政府信息公开平台建设</w:t>
      </w:r>
    </w:p>
    <w:p w:rsidR="000921E6" w:rsidRPr="000921E6" w:rsidRDefault="000921E6" w:rsidP="000921E6">
      <w:pPr>
        <w:spacing w:line="600" w:lineRule="exact"/>
        <w:ind w:firstLineChars="200" w:firstLine="640"/>
        <w:jc w:val="left"/>
        <w:rPr>
          <w:rFonts w:eastAsia="仿宋_GB2312"/>
        </w:rPr>
      </w:pPr>
      <w:r>
        <w:rPr>
          <w:rFonts w:eastAsia="仿宋_GB2312" w:hint="eastAsia"/>
        </w:rPr>
        <w:t>优化</w:t>
      </w:r>
      <w:r w:rsidR="00573758" w:rsidRPr="000921E6">
        <w:rPr>
          <w:rFonts w:eastAsia="仿宋_GB2312" w:hint="eastAsia"/>
        </w:rPr>
        <w:t>政府网站政务公开栏目设置</w:t>
      </w:r>
      <w:r>
        <w:rPr>
          <w:rFonts w:eastAsia="仿宋_GB2312" w:hint="eastAsia"/>
        </w:rPr>
        <w:t>，整合栏目</w:t>
      </w:r>
      <w:r>
        <w:rPr>
          <w:rFonts w:eastAsia="仿宋_GB2312" w:hint="eastAsia"/>
        </w:rPr>
        <w:t>5</w:t>
      </w:r>
      <w:r>
        <w:rPr>
          <w:rFonts w:eastAsia="仿宋_GB2312" w:hint="eastAsia"/>
        </w:rPr>
        <w:t>个，新开设栏目</w:t>
      </w:r>
      <w:r>
        <w:rPr>
          <w:rFonts w:eastAsia="仿宋_GB2312" w:hint="eastAsia"/>
        </w:rPr>
        <w:t>3</w:t>
      </w:r>
      <w:r>
        <w:rPr>
          <w:rFonts w:eastAsia="仿宋_GB2312" w:hint="eastAsia"/>
        </w:rPr>
        <w:t>个。“唐坊镇人民政府”</w:t>
      </w:r>
      <w:proofErr w:type="gramStart"/>
      <w:r>
        <w:rPr>
          <w:rFonts w:eastAsia="仿宋_GB2312" w:hint="eastAsia"/>
        </w:rPr>
        <w:t>微信公众号</w:t>
      </w:r>
      <w:proofErr w:type="gramEnd"/>
      <w:r w:rsidRPr="000921E6">
        <w:rPr>
          <w:rFonts w:eastAsia="仿宋_GB2312" w:hint="eastAsia"/>
        </w:rPr>
        <w:t>开设“一键服务”栏目，链接至淄博市、高青县政府门户网站相关栏目，方便</w:t>
      </w:r>
      <w:r>
        <w:rPr>
          <w:rFonts w:eastAsia="仿宋_GB2312"/>
        </w:rPr>
        <w:t>获取所需信息。</w:t>
      </w:r>
      <w:r>
        <w:rPr>
          <w:rFonts w:eastAsia="仿宋_GB2312" w:hint="eastAsia"/>
        </w:rPr>
        <w:t>做好政务公开专区建设，开设</w:t>
      </w:r>
      <w:r w:rsidRPr="000921E6">
        <w:rPr>
          <w:rFonts w:eastAsia="仿宋_GB2312" w:hint="eastAsia"/>
        </w:rPr>
        <w:t>“唐果”社工服务站，配备社工为老年人获取政府信息做好服务。</w:t>
      </w:r>
    </w:p>
    <w:p w:rsidR="00B36B67" w:rsidRDefault="00BA41F5">
      <w:pPr>
        <w:spacing w:line="600" w:lineRule="exact"/>
        <w:jc w:val="left"/>
        <w:rPr>
          <w:rFonts w:eastAsia="楷体_GB2312"/>
        </w:rPr>
      </w:pPr>
      <w:r>
        <w:rPr>
          <w:rFonts w:eastAsia="楷体_GB2312"/>
        </w:rPr>
        <w:t>（五）监督保障</w:t>
      </w:r>
    </w:p>
    <w:p w:rsidR="00B36B67" w:rsidRDefault="008E6BA7" w:rsidP="00D824A5">
      <w:pPr>
        <w:spacing w:line="600" w:lineRule="exact"/>
        <w:jc w:val="left"/>
        <w:rPr>
          <w:rFonts w:eastAsia="仿宋_GB2312"/>
          <w:szCs w:val="32"/>
        </w:rPr>
      </w:pPr>
      <w:r w:rsidRPr="008E6BA7">
        <w:rPr>
          <w:rFonts w:eastAsia="仿宋_GB2312" w:hint="eastAsia"/>
        </w:rPr>
        <w:t>强化政务公开工作组织领导</w:t>
      </w:r>
      <w:r>
        <w:rPr>
          <w:rFonts w:eastAsia="仿宋_GB2312" w:hint="eastAsia"/>
        </w:rPr>
        <w:t>，单位“一把手”召开</w:t>
      </w:r>
      <w:r w:rsidR="00D824A5">
        <w:rPr>
          <w:rFonts w:eastAsia="仿宋_GB2312" w:hint="eastAsia"/>
        </w:rPr>
        <w:t>1</w:t>
      </w:r>
      <w:r w:rsidR="00D824A5">
        <w:rPr>
          <w:rFonts w:eastAsia="仿宋_GB2312" w:hint="eastAsia"/>
        </w:rPr>
        <w:t>次专题</w:t>
      </w:r>
      <w:r>
        <w:rPr>
          <w:rFonts w:eastAsia="仿宋_GB2312" w:hint="eastAsia"/>
        </w:rPr>
        <w:t>会议研究政务公开工作</w:t>
      </w:r>
      <w:r w:rsidR="009D5071">
        <w:rPr>
          <w:rFonts w:eastAsia="仿宋_GB2312" w:hint="eastAsia"/>
        </w:rPr>
        <w:t>。</w:t>
      </w:r>
      <w:r w:rsidR="00D824A5">
        <w:rPr>
          <w:rFonts w:eastAsia="仿宋_GB2312"/>
        </w:rPr>
        <w:t>党政办公室</w:t>
      </w:r>
      <w:r w:rsidR="00D824A5">
        <w:rPr>
          <w:rFonts w:eastAsia="仿宋_GB2312" w:hint="eastAsia"/>
        </w:rPr>
        <w:t>作为政务公开工作具体负责科室，配备</w:t>
      </w:r>
      <w:r w:rsidR="00D824A5">
        <w:rPr>
          <w:rFonts w:eastAsia="仿宋_GB2312" w:hint="eastAsia"/>
        </w:rPr>
        <w:t>1</w:t>
      </w:r>
      <w:r w:rsidR="00D824A5">
        <w:rPr>
          <w:rFonts w:eastAsia="仿宋_GB2312" w:hint="eastAsia"/>
        </w:rPr>
        <w:t>名专职人员，负责政务公开日常工作</w:t>
      </w:r>
      <w:r w:rsidR="00D824A5">
        <w:rPr>
          <w:rFonts w:eastAsia="仿宋_GB2312"/>
        </w:rPr>
        <w:t>。</w:t>
      </w:r>
      <w:r w:rsidR="00D824A5">
        <w:rPr>
          <w:rFonts w:eastAsia="仿宋_GB2312" w:hint="eastAsia"/>
        </w:rPr>
        <w:t>坚持将</w:t>
      </w:r>
      <w:r w:rsidR="00D824A5">
        <w:rPr>
          <w:rFonts w:eastAsia="仿宋_GB2312"/>
        </w:rPr>
        <w:t>《条例》</w:t>
      </w:r>
      <w:r w:rsidR="009D5071">
        <w:rPr>
          <w:rFonts w:eastAsia="仿宋_GB2312" w:hint="eastAsia"/>
        </w:rPr>
        <w:t>纳入全镇机关工作人员培训课程，开展政务公开专题培训</w:t>
      </w:r>
      <w:r w:rsidR="00D824A5">
        <w:rPr>
          <w:rFonts w:eastAsia="仿宋_GB2312" w:hint="eastAsia"/>
        </w:rPr>
        <w:t>1</w:t>
      </w:r>
      <w:r w:rsidR="00D824A5">
        <w:rPr>
          <w:rFonts w:eastAsia="仿宋_GB2312" w:hint="eastAsia"/>
        </w:rPr>
        <w:t>次，</w:t>
      </w:r>
      <w:r w:rsidR="00BA41F5">
        <w:rPr>
          <w:rFonts w:eastAsia="仿宋_GB2312"/>
        </w:rPr>
        <w:t>提高工作人员的业务能力。</w:t>
      </w:r>
    </w:p>
    <w:p w:rsidR="00B36B67" w:rsidRDefault="00BA41F5">
      <w:pPr>
        <w:spacing w:afterLines="50" w:after="156" w:line="240" w:lineRule="auto"/>
        <w:ind w:firstLineChars="200" w:firstLine="640"/>
        <w:rPr>
          <w:rFonts w:eastAsia="黑体"/>
          <w:szCs w:val="32"/>
        </w:rPr>
      </w:pPr>
      <w:r>
        <w:rPr>
          <w:rFonts w:eastAsia="黑体"/>
          <w:szCs w:val="32"/>
        </w:rPr>
        <w:lastRenderedPageBreak/>
        <w:t>二、主动公开政府信息情况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B36B67">
        <w:trPr>
          <w:trHeight w:hRule="exact" w:val="567"/>
          <w:jc w:val="center"/>
        </w:trPr>
        <w:tc>
          <w:tcPr>
            <w:tcW w:w="8981" w:type="dxa"/>
            <w:gridSpan w:val="4"/>
            <w:vAlign w:val="center"/>
          </w:tcPr>
          <w:p w:rsidR="00B36B67" w:rsidRDefault="00BA41F5">
            <w:pPr>
              <w:spacing w:line="240" w:lineRule="auto"/>
              <w:ind w:firstLine="0"/>
              <w:jc w:val="center"/>
              <w:rPr>
                <w:rFonts w:eastAsia="黑体"/>
                <w:sz w:val="20"/>
              </w:rPr>
            </w:pPr>
            <w:r>
              <w:rPr>
                <w:rFonts w:eastAsia="宋体"/>
                <w:snapToGrid/>
                <w:color w:val="000000"/>
                <w:sz w:val="20"/>
              </w:rPr>
              <w:t>第二十条第（一）项</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rsidR="00B36B67" w:rsidRDefault="00BA41F5" w:rsidP="000921E6">
            <w:pPr>
              <w:spacing w:line="240" w:lineRule="auto"/>
              <w:ind w:firstLine="0"/>
              <w:jc w:val="center"/>
              <w:rPr>
                <w:rFonts w:eastAsia="黑体"/>
                <w:sz w:val="20"/>
              </w:rPr>
            </w:pPr>
            <w:r>
              <w:rPr>
                <w:rFonts w:eastAsia="黑体"/>
                <w:sz w:val="20"/>
              </w:rPr>
              <w:t>0</w:t>
            </w:r>
          </w:p>
        </w:tc>
        <w:tc>
          <w:tcPr>
            <w:tcW w:w="2131" w:type="dxa"/>
            <w:vAlign w:val="center"/>
          </w:tcPr>
          <w:p w:rsidR="00B36B67" w:rsidRDefault="00BA41F5" w:rsidP="000921E6">
            <w:pPr>
              <w:spacing w:line="240" w:lineRule="auto"/>
              <w:ind w:firstLine="0"/>
              <w:jc w:val="center"/>
              <w:rPr>
                <w:rFonts w:eastAsia="黑体"/>
                <w:sz w:val="20"/>
              </w:rPr>
            </w:pPr>
            <w:r>
              <w:rPr>
                <w:rFonts w:eastAsia="黑体"/>
                <w:sz w:val="20"/>
              </w:rPr>
              <w:t>0</w:t>
            </w:r>
          </w:p>
        </w:tc>
        <w:tc>
          <w:tcPr>
            <w:tcW w:w="2131" w:type="dxa"/>
            <w:vAlign w:val="center"/>
          </w:tcPr>
          <w:p w:rsidR="00B36B67" w:rsidRDefault="00BA41F5" w:rsidP="000921E6">
            <w:pPr>
              <w:spacing w:line="240" w:lineRule="auto"/>
              <w:ind w:firstLine="0"/>
              <w:jc w:val="center"/>
              <w:rPr>
                <w:rFonts w:eastAsia="黑体"/>
                <w:sz w:val="20"/>
              </w:rPr>
            </w:pPr>
            <w:r>
              <w:rPr>
                <w:rFonts w:eastAsia="黑体"/>
                <w:sz w:val="20"/>
              </w:rPr>
              <w:t>0</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rsidR="00B36B67" w:rsidRDefault="00BA41F5" w:rsidP="000921E6">
            <w:pPr>
              <w:spacing w:line="240" w:lineRule="auto"/>
              <w:ind w:firstLine="0"/>
              <w:jc w:val="center"/>
              <w:rPr>
                <w:rFonts w:eastAsia="黑体"/>
                <w:sz w:val="20"/>
              </w:rPr>
            </w:pPr>
            <w:r>
              <w:rPr>
                <w:rFonts w:eastAsia="黑体"/>
                <w:sz w:val="20"/>
              </w:rPr>
              <w:t>0</w:t>
            </w:r>
          </w:p>
        </w:tc>
        <w:tc>
          <w:tcPr>
            <w:tcW w:w="2131" w:type="dxa"/>
            <w:vAlign w:val="center"/>
          </w:tcPr>
          <w:p w:rsidR="00B36B67" w:rsidRDefault="00BA41F5" w:rsidP="000921E6">
            <w:pPr>
              <w:spacing w:line="240" w:lineRule="auto"/>
              <w:ind w:firstLine="0"/>
              <w:jc w:val="center"/>
              <w:rPr>
                <w:rFonts w:eastAsia="黑体"/>
                <w:sz w:val="20"/>
              </w:rPr>
            </w:pPr>
            <w:r>
              <w:rPr>
                <w:rFonts w:eastAsia="黑体"/>
                <w:sz w:val="20"/>
              </w:rPr>
              <w:t>0</w:t>
            </w:r>
          </w:p>
        </w:tc>
        <w:tc>
          <w:tcPr>
            <w:tcW w:w="2131" w:type="dxa"/>
            <w:vAlign w:val="center"/>
          </w:tcPr>
          <w:p w:rsidR="00B36B67" w:rsidRDefault="00BA41F5" w:rsidP="000921E6">
            <w:pPr>
              <w:spacing w:line="240" w:lineRule="auto"/>
              <w:ind w:firstLine="0"/>
              <w:jc w:val="center"/>
              <w:rPr>
                <w:rFonts w:eastAsia="黑体"/>
                <w:sz w:val="20"/>
              </w:rPr>
            </w:pPr>
            <w:r>
              <w:rPr>
                <w:rFonts w:eastAsia="黑体"/>
                <w:sz w:val="20"/>
              </w:rPr>
              <w:t>0</w:t>
            </w:r>
          </w:p>
        </w:tc>
      </w:tr>
      <w:tr w:rsidR="00B36B67">
        <w:trPr>
          <w:trHeight w:hRule="exact" w:val="567"/>
          <w:jc w:val="center"/>
        </w:trPr>
        <w:tc>
          <w:tcPr>
            <w:tcW w:w="8981" w:type="dxa"/>
            <w:gridSpan w:val="4"/>
            <w:vAlign w:val="center"/>
          </w:tcPr>
          <w:p w:rsidR="00B36B67" w:rsidRDefault="00BA41F5">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B36B67" w:rsidRDefault="00BA41F5">
            <w:pPr>
              <w:spacing w:line="240" w:lineRule="auto"/>
              <w:ind w:firstLine="0"/>
              <w:jc w:val="center"/>
              <w:rPr>
                <w:rFonts w:eastAsia="黑体"/>
                <w:sz w:val="20"/>
              </w:rPr>
            </w:pPr>
            <w:r>
              <w:rPr>
                <w:rFonts w:eastAsia="宋体"/>
                <w:snapToGrid/>
                <w:color w:val="000000"/>
                <w:sz w:val="20"/>
              </w:rPr>
              <w:t>本年处理决定数量</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rsidR="00B36B67" w:rsidRDefault="00BA41F5" w:rsidP="000921E6">
            <w:pPr>
              <w:spacing w:line="240" w:lineRule="auto"/>
              <w:ind w:firstLine="0"/>
              <w:jc w:val="center"/>
              <w:rPr>
                <w:rFonts w:eastAsia="黑体"/>
                <w:sz w:val="20"/>
              </w:rPr>
            </w:pPr>
            <w:r>
              <w:rPr>
                <w:rFonts w:eastAsia="黑体"/>
                <w:sz w:val="20"/>
              </w:rPr>
              <w:t>0</w:t>
            </w:r>
          </w:p>
        </w:tc>
      </w:tr>
      <w:tr w:rsidR="00B36B67">
        <w:trPr>
          <w:trHeight w:hRule="exact" w:val="567"/>
          <w:jc w:val="center"/>
        </w:trPr>
        <w:tc>
          <w:tcPr>
            <w:tcW w:w="8981" w:type="dxa"/>
            <w:gridSpan w:val="4"/>
            <w:vAlign w:val="center"/>
          </w:tcPr>
          <w:p w:rsidR="00B36B67" w:rsidRDefault="00BA41F5">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B36B67" w:rsidRDefault="00BA41F5">
            <w:pPr>
              <w:spacing w:line="240" w:lineRule="auto"/>
              <w:ind w:firstLine="0"/>
              <w:jc w:val="center"/>
              <w:rPr>
                <w:rFonts w:eastAsia="黑体"/>
                <w:sz w:val="20"/>
              </w:rPr>
            </w:pPr>
            <w:r>
              <w:rPr>
                <w:rFonts w:eastAsia="宋体"/>
                <w:snapToGrid/>
                <w:color w:val="000000"/>
                <w:sz w:val="20"/>
              </w:rPr>
              <w:t>本年处理决定数量</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rsidR="00B36B67" w:rsidRDefault="00BA41F5" w:rsidP="000921E6">
            <w:pPr>
              <w:spacing w:line="240" w:lineRule="auto"/>
              <w:ind w:firstLine="0"/>
              <w:jc w:val="center"/>
              <w:rPr>
                <w:rFonts w:eastAsia="黑体"/>
                <w:sz w:val="20"/>
              </w:rPr>
            </w:pPr>
            <w:r>
              <w:rPr>
                <w:rFonts w:eastAsia="黑体"/>
                <w:sz w:val="20"/>
              </w:rPr>
              <w:t>0</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rsidR="00B36B67" w:rsidRDefault="00BA41F5" w:rsidP="000921E6">
            <w:pPr>
              <w:spacing w:line="240" w:lineRule="auto"/>
              <w:ind w:firstLine="0"/>
              <w:jc w:val="center"/>
              <w:rPr>
                <w:rFonts w:eastAsia="黑体"/>
                <w:sz w:val="20"/>
              </w:rPr>
            </w:pPr>
            <w:r>
              <w:rPr>
                <w:rFonts w:eastAsia="黑体"/>
                <w:sz w:val="20"/>
              </w:rPr>
              <w:t>0</w:t>
            </w:r>
          </w:p>
        </w:tc>
      </w:tr>
      <w:tr w:rsidR="00B36B67">
        <w:trPr>
          <w:trHeight w:hRule="exact" w:val="567"/>
          <w:jc w:val="center"/>
        </w:trPr>
        <w:tc>
          <w:tcPr>
            <w:tcW w:w="8981" w:type="dxa"/>
            <w:gridSpan w:val="4"/>
            <w:vAlign w:val="center"/>
          </w:tcPr>
          <w:p w:rsidR="00B36B67" w:rsidRDefault="00BA41F5">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B36B67" w:rsidRDefault="00BA41F5" w:rsidP="00C17A31">
            <w:pPr>
              <w:spacing w:line="240" w:lineRule="auto"/>
              <w:ind w:firstLine="0"/>
              <w:jc w:val="center"/>
              <w:rPr>
                <w:rFonts w:eastAsia="黑体"/>
                <w:sz w:val="20"/>
              </w:rPr>
            </w:pPr>
            <w:r>
              <w:rPr>
                <w:rFonts w:eastAsia="宋体"/>
                <w:snapToGrid/>
                <w:color w:val="000000"/>
                <w:sz w:val="20"/>
              </w:rPr>
              <w:t>本年收费金额（单位：万元）</w:t>
            </w:r>
          </w:p>
        </w:tc>
      </w:tr>
      <w:tr w:rsidR="00B36B67">
        <w:trPr>
          <w:trHeight w:hRule="exact" w:val="567"/>
          <w:jc w:val="center"/>
        </w:trPr>
        <w:tc>
          <w:tcPr>
            <w:tcW w:w="2589" w:type="dxa"/>
            <w:vAlign w:val="center"/>
          </w:tcPr>
          <w:p w:rsidR="00B36B67" w:rsidRDefault="00BA41F5">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rsidR="00B36B67" w:rsidRDefault="00BA41F5" w:rsidP="000921E6">
            <w:pPr>
              <w:spacing w:line="240" w:lineRule="auto"/>
              <w:ind w:firstLine="0"/>
              <w:jc w:val="center"/>
              <w:rPr>
                <w:rFonts w:eastAsia="黑体"/>
                <w:sz w:val="20"/>
              </w:rPr>
            </w:pPr>
            <w:r>
              <w:rPr>
                <w:rFonts w:eastAsia="黑体"/>
                <w:sz w:val="20"/>
              </w:rPr>
              <w:t>0</w:t>
            </w:r>
          </w:p>
        </w:tc>
      </w:tr>
    </w:tbl>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36B67">
      <w:pPr>
        <w:spacing w:line="240" w:lineRule="auto"/>
        <w:ind w:firstLine="0"/>
        <w:rPr>
          <w:rFonts w:eastAsia="黑体"/>
          <w:sz w:val="30"/>
          <w:szCs w:val="30"/>
        </w:rPr>
      </w:pPr>
    </w:p>
    <w:p w:rsidR="00B36B67" w:rsidRDefault="00BA41F5">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B36B6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B36B6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B36B6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r>
      <w:tr w:rsidR="00B36B6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sidRPr="00D824A5">
              <w:rPr>
                <w:rFonts w:eastAsia="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sidRPr="00D824A5">
              <w:rPr>
                <w:rFonts w:eastAsia="宋体" w:hint="eastAsia"/>
                <w:snapToGrid/>
                <w:sz w:val="20"/>
              </w:rPr>
              <w:t>0</w:t>
            </w:r>
          </w:p>
        </w:tc>
      </w:tr>
      <w:tr w:rsidR="00B36B6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D824A5">
            <w:pPr>
              <w:widowControl/>
              <w:autoSpaceDE/>
              <w:autoSpaceDN/>
              <w:snapToGrid/>
              <w:spacing w:line="240" w:lineRule="auto"/>
              <w:ind w:firstLine="0"/>
              <w:jc w:val="center"/>
              <w:rPr>
                <w:rFonts w:eastAsia="宋体"/>
                <w:snapToGrid/>
                <w:sz w:val="20"/>
              </w:rPr>
            </w:pPr>
            <w:r>
              <w:rPr>
                <w:rFonts w:eastAsia="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D824A5">
            <w:pPr>
              <w:widowControl/>
              <w:autoSpaceDE/>
              <w:autoSpaceDN/>
              <w:snapToGrid/>
              <w:spacing w:line="240" w:lineRule="auto"/>
              <w:ind w:firstLine="0"/>
              <w:jc w:val="center"/>
              <w:rPr>
                <w:rFonts w:eastAsia="宋体"/>
                <w:snapToGrid/>
                <w:sz w:val="20"/>
              </w:rPr>
            </w:pPr>
            <w:r>
              <w:rPr>
                <w:rFonts w:eastAsia="宋体" w:hint="eastAsia"/>
                <w:snapToGrid/>
                <w:sz w:val="20"/>
              </w:rPr>
              <w:t>1</w:t>
            </w:r>
          </w:p>
        </w:tc>
      </w:tr>
      <w:tr w:rsidR="00B36B6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C17A31">
            <w:pPr>
              <w:widowControl/>
              <w:autoSpaceDE/>
              <w:autoSpaceDN/>
              <w:snapToGrid/>
              <w:spacing w:line="240" w:lineRule="auto"/>
              <w:ind w:firstLine="0"/>
              <w:jc w:val="center"/>
              <w:rPr>
                <w:rFonts w:eastAsia="宋体"/>
                <w:snapToGrid/>
                <w:sz w:val="20"/>
              </w:rPr>
            </w:pPr>
            <w:r>
              <w:rPr>
                <w:rFonts w:eastAsia="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C17A31">
            <w:pPr>
              <w:widowControl/>
              <w:autoSpaceDE/>
              <w:autoSpaceDN/>
              <w:snapToGrid/>
              <w:spacing w:line="240" w:lineRule="auto"/>
              <w:ind w:firstLine="0"/>
              <w:jc w:val="center"/>
              <w:rPr>
                <w:rFonts w:eastAsia="宋体"/>
                <w:snapToGrid/>
                <w:sz w:val="20"/>
              </w:rPr>
            </w:pPr>
            <w:r>
              <w:rPr>
                <w:rFonts w:eastAsia="宋体" w:hint="eastAsia"/>
                <w:snapToGrid/>
                <w:sz w:val="20"/>
              </w:rPr>
              <w:t>1</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trHeight w:val="779"/>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sidRPr="00D824A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sidRPr="00D824A5">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r>
      <w:tr w:rsidR="00B36B67">
        <w:trPr>
          <w:jc w:val="center"/>
        </w:trPr>
        <w:tc>
          <w:tcPr>
            <w:tcW w:w="0" w:type="auto"/>
            <w:vMerge/>
            <w:tcBorders>
              <w:top w:val="nil"/>
              <w:left w:val="single" w:sz="8" w:space="0" w:color="auto"/>
              <w:bottom w:val="inset"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D824A5">
            <w:pPr>
              <w:widowControl/>
              <w:autoSpaceDE/>
              <w:autoSpaceDN/>
              <w:snapToGrid/>
              <w:spacing w:line="240" w:lineRule="auto"/>
              <w:ind w:firstLine="0"/>
              <w:jc w:val="center"/>
              <w:rPr>
                <w:rFonts w:eastAsia="宋体"/>
                <w:snapToGrid/>
                <w:sz w:val="20"/>
              </w:rPr>
            </w:pPr>
            <w:r>
              <w:rPr>
                <w:rFonts w:eastAsia="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D824A5">
            <w:pPr>
              <w:widowControl/>
              <w:autoSpaceDE/>
              <w:autoSpaceDN/>
              <w:snapToGrid/>
              <w:spacing w:line="240" w:lineRule="auto"/>
              <w:ind w:firstLine="0"/>
              <w:jc w:val="center"/>
              <w:rPr>
                <w:rFonts w:eastAsia="宋体"/>
                <w:snapToGrid/>
                <w:sz w:val="20"/>
              </w:rPr>
            </w:pPr>
            <w:r>
              <w:rPr>
                <w:rFonts w:eastAsia="宋体" w:hint="eastAsia"/>
                <w:snapToGrid/>
                <w:sz w:val="20"/>
              </w:rPr>
              <w:t>1</w:t>
            </w:r>
          </w:p>
        </w:tc>
      </w:tr>
      <w:tr w:rsidR="00B36B6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B36B67" w:rsidRDefault="00BA41F5">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B36B67" w:rsidRPr="00D824A5" w:rsidRDefault="000921E6">
            <w:pPr>
              <w:widowControl/>
              <w:autoSpaceDE/>
              <w:autoSpaceDN/>
              <w:snapToGrid/>
              <w:spacing w:line="240" w:lineRule="auto"/>
              <w:ind w:firstLine="0"/>
              <w:jc w:val="center"/>
              <w:rPr>
                <w:rFonts w:eastAsia="宋体"/>
                <w:snapToGrid/>
                <w:sz w:val="20"/>
              </w:rPr>
            </w:pPr>
            <w:r w:rsidRPr="00D824A5">
              <w:rPr>
                <w:rFonts w:eastAsia="宋体" w:hint="eastAsia"/>
                <w:snapToGrid/>
                <w:sz w:val="20"/>
              </w:rPr>
              <w:t>0</w:t>
            </w:r>
          </w:p>
        </w:tc>
      </w:tr>
    </w:tbl>
    <w:p w:rsidR="00B36B67" w:rsidRDefault="00B36B67">
      <w:pPr>
        <w:spacing w:line="240" w:lineRule="auto"/>
        <w:ind w:firstLineChars="200" w:firstLine="600"/>
        <w:rPr>
          <w:rFonts w:eastAsia="黑体"/>
          <w:sz w:val="30"/>
          <w:szCs w:val="30"/>
        </w:rPr>
      </w:pPr>
    </w:p>
    <w:p w:rsidR="00B36B67" w:rsidRDefault="00BA41F5">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B36B67">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B36B67">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结果</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其他</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尚未</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B36B67">
        <w:trPr>
          <w:jc w:val="center"/>
        </w:trPr>
        <w:tc>
          <w:tcPr>
            <w:tcW w:w="0" w:type="auto"/>
            <w:vMerge/>
            <w:tcBorders>
              <w:top w:val="nil"/>
              <w:left w:val="single" w:sz="8" w:space="0" w:color="auto"/>
              <w:bottom w:val="single"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B36B67" w:rsidRDefault="00B36B67">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结果</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结果</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其他</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尚未</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结果</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结果</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其他</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0"/>
              </w:rPr>
            </w:pPr>
            <w:r>
              <w:rPr>
                <w:rFonts w:eastAsia="宋体"/>
                <w:snapToGrid/>
                <w:sz w:val="20"/>
              </w:rPr>
              <w:t>尚未</w:t>
            </w:r>
          </w:p>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Default="00BA41F5">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B36B67">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6B67" w:rsidRPr="009D5071" w:rsidRDefault="00BA41F5">
            <w:pPr>
              <w:widowControl/>
              <w:autoSpaceDE/>
              <w:autoSpaceDN/>
              <w:snapToGrid/>
              <w:spacing w:line="240" w:lineRule="auto"/>
              <w:ind w:firstLine="0"/>
              <w:jc w:val="center"/>
              <w:rPr>
                <w:rFonts w:eastAsia="宋体"/>
                <w:snapToGrid/>
                <w:sz w:val="20"/>
              </w:rPr>
            </w:pPr>
            <w:r w:rsidRPr="009D5071">
              <w:rPr>
                <w:rFonts w:eastAsia="宋体"/>
                <w:snapToGrid/>
                <w:sz w:val="20"/>
              </w:rPr>
              <w:t>0</w:t>
            </w:r>
          </w:p>
        </w:tc>
      </w:tr>
    </w:tbl>
    <w:p w:rsidR="00B36B67" w:rsidRDefault="00BA41F5">
      <w:pPr>
        <w:spacing w:line="560" w:lineRule="exact"/>
        <w:ind w:firstLineChars="200" w:firstLine="640"/>
        <w:rPr>
          <w:rFonts w:eastAsia="黑体"/>
          <w:szCs w:val="32"/>
        </w:rPr>
      </w:pPr>
      <w:r>
        <w:rPr>
          <w:rFonts w:eastAsia="黑体"/>
          <w:szCs w:val="32"/>
        </w:rPr>
        <w:t>五、存在的主要问题及改进情况</w:t>
      </w:r>
    </w:p>
    <w:p w:rsidR="00B36B67" w:rsidRDefault="00BA41F5">
      <w:pPr>
        <w:spacing w:line="560" w:lineRule="exact"/>
        <w:ind w:firstLineChars="200" w:firstLine="640"/>
        <w:rPr>
          <w:rFonts w:eastAsia="楷体_GB2312"/>
          <w:szCs w:val="32"/>
        </w:rPr>
      </w:pPr>
      <w:r>
        <w:rPr>
          <w:rFonts w:eastAsia="楷体_GB2312"/>
          <w:szCs w:val="32"/>
        </w:rPr>
        <w:t>（一）存在问题</w:t>
      </w:r>
    </w:p>
    <w:p w:rsidR="009D5071" w:rsidRDefault="00BA41F5">
      <w:pPr>
        <w:spacing w:line="560" w:lineRule="exact"/>
        <w:ind w:firstLineChars="200" w:firstLine="640"/>
        <w:rPr>
          <w:rFonts w:eastAsia="仿宋_GB2312"/>
        </w:rPr>
      </w:pPr>
      <w:r>
        <w:rPr>
          <w:rFonts w:eastAsia="仿宋_GB2312"/>
        </w:rPr>
        <w:t>一是</w:t>
      </w:r>
      <w:r w:rsidR="002B2E5E">
        <w:rPr>
          <w:rFonts w:eastAsia="仿宋_GB2312" w:hint="eastAsia"/>
        </w:rPr>
        <w:t>政务公开工作人员配备不足。</w:t>
      </w:r>
      <w:r w:rsidR="009D5071">
        <w:rPr>
          <w:rFonts w:eastAsia="仿宋_GB2312" w:hint="eastAsia"/>
        </w:rPr>
        <w:t>负责政务公开工作的为新入职人员，工作业务不熟悉，且为</w:t>
      </w:r>
      <w:r w:rsidR="009D5071">
        <w:rPr>
          <w:rFonts w:eastAsia="仿宋_GB2312"/>
        </w:rPr>
        <w:t>兼职</w:t>
      </w:r>
      <w:r>
        <w:rPr>
          <w:rFonts w:eastAsia="仿宋_GB2312"/>
        </w:rPr>
        <w:t>，</w:t>
      </w:r>
      <w:r w:rsidR="009D5071">
        <w:rPr>
          <w:rFonts w:eastAsia="仿宋_GB2312" w:hint="eastAsia"/>
        </w:rPr>
        <w:t>无法全身心开展相关工作</w:t>
      </w:r>
      <w:r>
        <w:rPr>
          <w:rFonts w:eastAsia="仿宋_GB2312"/>
        </w:rPr>
        <w:t>。</w:t>
      </w:r>
    </w:p>
    <w:p w:rsidR="009D5071" w:rsidRDefault="002B2E5E">
      <w:pPr>
        <w:spacing w:line="560" w:lineRule="exact"/>
        <w:ind w:firstLineChars="200" w:firstLine="640"/>
        <w:rPr>
          <w:rFonts w:eastAsia="仿宋_GB2312"/>
        </w:rPr>
      </w:pPr>
      <w:r>
        <w:rPr>
          <w:rFonts w:eastAsia="仿宋_GB2312"/>
        </w:rPr>
        <w:t>二是政务新</w:t>
      </w:r>
      <w:r>
        <w:rPr>
          <w:rFonts w:eastAsia="仿宋_GB2312" w:hint="eastAsia"/>
        </w:rPr>
        <w:t>媒体</w:t>
      </w:r>
      <w:proofErr w:type="gramStart"/>
      <w:r>
        <w:rPr>
          <w:rFonts w:eastAsia="仿宋_GB2312" w:hint="eastAsia"/>
        </w:rPr>
        <w:t>运维不规范</w:t>
      </w:r>
      <w:proofErr w:type="gramEnd"/>
      <w:r>
        <w:rPr>
          <w:rFonts w:eastAsia="仿宋_GB2312" w:hint="eastAsia"/>
        </w:rPr>
        <w:t>。突出表现在栏目开设不够优化，信息没有归类发布，</w:t>
      </w:r>
      <w:r w:rsidR="009D5071">
        <w:rPr>
          <w:rFonts w:eastAsia="仿宋_GB2312" w:hint="eastAsia"/>
        </w:rPr>
        <w:t>无法保证群众高效准确获取政府信息。</w:t>
      </w:r>
    </w:p>
    <w:p w:rsidR="009D5071" w:rsidRDefault="002B2E5E">
      <w:pPr>
        <w:spacing w:line="560" w:lineRule="exact"/>
        <w:ind w:firstLineChars="200" w:firstLine="640"/>
        <w:rPr>
          <w:rFonts w:eastAsia="仿宋_GB2312"/>
        </w:rPr>
      </w:pPr>
      <w:r>
        <w:rPr>
          <w:rFonts w:eastAsia="仿宋_GB2312" w:hint="eastAsia"/>
        </w:rPr>
        <w:t>三是信息公开渠道较少。主要借助政府网站、政务新媒体等线</w:t>
      </w:r>
      <w:proofErr w:type="gramStart"/>
      <w:r>
        <w:rPr>
          <w:rFonts w:eastAsia="仿宋_GB2312" w:hint="eastAsia"/>
        </w:rPr>
        <w:t>上媒体</w:t>
      </w:r>
      <w:proofErr w:type="gramEnd"/>
      <w:r>
        <w:rPr>
          <w:rFonts w:eastAsia="仿宋_GB2312" w:hint="eastAsia"/>
        </w:rPr>
        <w:t>公开信息，线下公开渠道</w:t>
      </w:r>
      <w:r w:rsidR="00AC0C31">
        <w:rPr>
          <w:rFonts w:eastAsia="仿宋_GB2312" w:hint="eastAsia"/>
        </w:rPr>
        <w:t>不足，还主要依靠张贴宣传信息、发放明白纸等渠道公开信息。</w:t>
      </w:r>
    </w:p>
    <w:p w:rsidR="00B36B67" w:rsidRDefault="00BA41F5">
      <w:pPr>
        <w:spacing w:line="560" w:lineRule="exact"/>
        <w:ind w:firstLineChars="200" w:firstLine="640"/>
        <w:rPr>
          <w:rFonts w:eastAsia="楷体_GB2312"/>
          <w:szCs w:val="32"/>
        </w:rPr>
      </w:pPr>
      <w:r>
        <w:rPr>
          <w:rFonts w:eastAsia="楷体_GB2312"/>
          <w:szCs w:val="32"/>
        </w:rPr>
        <w:t>（二）改进情况</w:t>
      </w:r>
    </w:p>
    <w:p w:rsidR="009D5071" w:rsidRDefault="00BA41F5">
      <w:pPr>
        <w:spacing w:line="560" w:lineRule="exact"/>
        <w:ind w:firstLineChars="200" w:firstLine="640"/>
        <w:rPr>
          <w:rFonts w:eastAsia="仿宋_GB2312"/>
        </w:rPr>
      </w:pPr>
      <w:r>
        <w:rPr>
          <w:rFonts w:eastAsia="仿宋_GB2312"/>
        </w:rPr>
        <w:t>一是</w:t>
      </w:r>
      <w:r w:rsidR="002B2E5E">
        <w:rPr>
          <w:rFonts w:eastAsia="仿宋_GB2312" w:hint="eastAsia"/>
        </w:rPr>
        <w:t>充实政务公开工作队伍。</w:t>
      </w:r>
      <w:r>
        <w:rPr>
          <w:rFonts w:eastAsia="仿宋_GB2312"/>
        </w:rPr>
        <w:t>确定党政办公室为主要</w:t>
      </w:r>
      <w:r w:rsidR="009D5071">
        <w:rPr>
          <w:rFonts w:eastAsia="仿宋_GB2312" w:hint="eastAsia"/>
        </w:rPr>
        <w:t>政务公开</w:t>
      </w:r>
      <w:r>
        <w:rPr>
          <w:rFonts w:eastAsia="仿宋_GB2312"/>
        </w:rPr>
        <w:t>负责科室，</w:t>
      </w:r>
      <w:r w:rsidR="009D5071">
        <w:rPr>
          <w:rFonts w:eastAsia="仿宋_GB2312" w:hint="eastAsia"/>
        </w:rPr>
        <w:t>配备</w:t>
      </w:r>
      <w:r w:rsidR="009D5071">
        <w:rPr>
          <w:rFonts w:eastAsia="仿宋_GB2312" w:hint="eastAsia"/>
        </w:rPr>
        <w:t>1</w:t>
      </w:r>
      <w:r>
        <w:rPr>
          <w:rFonts w:eastAsia="仿宋_GB2312"/>
        </w:rPr>
        <w:t>名专职人员，</w:t>
      </w:r>
      <w:r w:rsidR="009D5071">
        <w:rPr>
          <w:rFonts w:eastAsia="仿宋_GB2312" w:hint="eastAsia"/>
        </w:rPr>
        <w:t>1</w:t>
      </w:r>
      <w:r>
        <w:rPr>
          <w:rFonts w:eastAsia="仿宋_GB2312"/>
        </w:rPr>
        <w:t>名兼职人员协助</w:t>
      </w:r>
      <w:r w:rsidR="002B2E5E">
        <w:rPr>
          <w:rFonts w:eastAsia="仿宋_GB2312" w:hint="eastAsia"/>
        </w:rPr>
        <w:t>，其他均科室明确人员负责</w:t>
      </w:r>
      <w:r w:rsidR="002B2E5E">
        <w:rPr>
          <w:rFonts w:eastAsia="仿宋_GB2312"/>
        </w:rPr>
        <w:t>政务公开</w:t>
      </w:r>
      <w:r w:rsidR="002B2E5E">
        <w:rPr>
          <w:rFonts w:eastAsia="仿宋_GB2312" w:hint="eastAsia"/>
        </w:rPr>
        <w:t>。</w:t>
      </w:r>
      <w:r w:rsidR="002B2E5E">
        <w:rPr>
          <w:rFonts w:eastAsia="仿宋_GB2312" w:hint="eastAsia"/>
        </w:rPr>
        <w:t>1</w:t>
      </w:r>
      <w:r>
        <w:rPr>
          <w:rFonts w:eastAsia="仿宋_GB2312"/>
        </w:rPr>
        <w:t>名工作人员</w:t>
      </w:r>
      <w:r w:rsidR="009D5071">
        <w:rPr>
          <w:rFonts w:eastAsia="仿宋_GB2312" w:hint="eastAsia"/>
        </w:rPr>
        <w:t>到县政府办公室跟班轮训</w:t>
      </w:r>
      <w:r w:rsidR="009D5071">
        <w:rPr>
          <w:rFonts w:eastAsia="仿宋_GB2312" w:hint="eastAsia"/>
        </w:rPr>
        <w:t>1</w:t>
      </w:r>
      <w:r w:rsidR="009D5071">
        <w:rPr>
          <w:rFonts w:eastAsia="仿宋_GB2312" w:hint="eastAsia"/>
        </w:rPr>
        <w:t>周，集中</w:t>
      </w:r>
      <w:r w:rsidR="009D5071">
        <w:rPr>
          <w:rFonts w:eastAsia="仿宋_GB2312"/>
        </w:rPr>
        <w:t>学习政务公开</w:t>
      </w:r>
      <w:r w:rsidR="009D5071">
        <w:rPr>
          <w:rFonts w:eastAsia="仿宋_GB2312" w:hint="eastAsia"/>
        </w:rPr>
        <w:t>相关业务</w:t>
      </w:r>
      <w:r>
        <w:rPr>
          <w:rFonts w:eastAsia="仿宋_GB2312"/>
        </w:rPr>
        <w:t>，</w:t>
      </w:r>
      <w:r w:rsidR="009D5071">
        <w:rPr>
          <w:rFonts w:eastAsia="仿宋_GB2312" w:hint="eastAsia"/>
        </w:rPr>
        <w:t>有效</w:t>
      </w:r>
      <w:r>
        <w:rPr>
          <w:rFonts w:eastAsia="仿宋_GB2312"/>
        </w:rPr>
        <w:t>提升</w:t>
      </w:r>
      <w:r w:rsidR="009D5071">
        <w:rPr>
          <w:rFonts w:eastAsia="仿宋_GB2312" w:hint="eastAsia"/>
        </w:rPr>
        <w:t>了</w:t>
      </w:r>
      <w:r>
        <w:rPr>
          <w:rFonts w:eastAsia="仿宋_GB2312"/>
        </w:rPr>
        <w:t>业务能力。</w:t>
      </w:r>
    </w:p>
    <w:p w:rsidR="009D5071" w:rsidRDefault="005D7B64">
      <w:pPr>
        <w:spacing w:line="560" w:lineRule="exact"/>
        <w:ind w:firstLineChars="200" w:firstLine="640"/>
        <w:rPr>
          <w:rFonts w:eastAsia="仿宋_GB2312"/>
        </w:rPr>
      </w:pPr>
      <w:r>
        <w:rPr>
          <w:rFonts w:eastAsia="仿宋_GB2312"/>
        </w:rPr>
        <w:t>二是</w:t>
      </w:r>
      <w:r w:rsidR="002B2E5E">
        <w:rPr>
          <w:rFonts w:eastAsia="仿宋_GB2312" w:hint="eastAsia"/>
        </w:rPr>
        <w:t>优化</w:t>
      </w:r>
      <w:r w:rsidR="002B2E5E">
        <w:rPr>
          <w:rFonts w:eastAsia="仿宋_GB2312"/>
        </w:rPr>
        <w:t>政务新</w:t>
      </w:r>
      <w:r w:rsidR="002B2E5E">
        <w:rPr>
          <w:rFonts w:eastAsia="仿宋_GB2312" w:hint="eastAsia"/>
        </w:rPr>
        <w:t>媒体运维管理。</w:t>
      </w:r>
      <w:r>
        <w:rPr>
          <w:rFonts w:eastAsia="仿宋_GB2312"/>
        </w:rPr>
        <w:t>确定</w:t>
      </w:r>
      <w:r>
        <w:rPr>
          <w:rFonts w:eastAsia="仿宋_GB2312" w:hint="eastAsia"/>
        </w:rPr>
        <w:t>1</w:t>
      </w:r>
      <w:r>
        <w:rPr>
          <w:rFonts w:eastAsia="仿宋_GB2312"/>
        </w:rPr>
        <w:t>名专职人员负责政务新媒体的运营和维护，</w:t>
      </w:r>
      <w:r>
        <w:rPr>
          <w:rFonts w:eastAsia="仿宋_GB2312" w:hint="eastAsia"/>
        </w:rPr>
        <w:t>并到县</w:t>
      </w:r>
      <w:proofErr w:type="gramStart"/>
      <w:r>
        <w:rPr>
          <w:rFonts w:eastAsia="仿宋_GB2312" w:hint="eastAsia"/>
        </w:rPr>
        <w:t>融媒体</w:t>
      </w:r>
      <w:proofErr w:type="gramEnd"/>
      <w:r>
        <w:rPr>
          <w:rFonts w:eastAsia="仿宋_GB2312" w:hint="eastAsia"/>
        </w:rPr>
        <w:t>中心</w:t>
      </w:r>
      <w:r w:rsidR="002B2E5E">
        <w:rPr>
          <w:rFonts w:eastAsia="仿宋_GB2312" w:hint="eastAsia"/>
        </w:rPr>
        <w:t>集中</w:t>
      </w:r>
      <w:r>
        <w:rPr>
          <w:rFonts w:eastAsia="仿宋_GB2312" w:hint="eastAsia"/>
        </w:rPr>
        <w:t>学习新媒体栏目开设、信息编辑等工作，优化“办事服务、便民查询、互动交流”</w:t>
      </w:r>
      <w:r>
        <w:rPr>
          <w:rFonts w:eastAsia="仿宋_GB2312" w:hint="eastAsia"/>
        </w:rPr>
        <w:lastRenderedPageBreak/>
        <w:t>等栏目设置，方便群众查询获取信息。</w:t>
      </w:r>
    </w:p>
    <w:p w:rsidR="00AC0C31" w:rsidRDefault="00AC0C31" w:rsidP="00AC0C31">
      <w:pPr>
        <w:spacing w:line="560" w:lineRule="exact"/>
        <w:ind w:firstLineChars="200" w:firstLine="640"/>
        <w:rPr>
          <w:rFonts w:eastAsia="仿宋_GB2312"/>
        </w:rPr>
      </w:pPr>
      <w:r>
        <w:rPr>
          <w:rFonts w:eastAsia="仿宋_GB2312" w:hint="eastAsia"/>
        </w:rPr>
        <w:t>三是多渠道公开政府信息。优化政务公开专区建设，配备专区服务人员，借助群众办理事项、咨询业务等机会，主动向群众</w:t>
      </w:r>
      <w:proofErr w:type="gramStart"/>
      <w:r>
        <w:rPr>
          <w:rFonts w:eastAsia="仿宋_GB2312" w:hint="eastAsia"/>
        </w:rPr>
        <w:t>介绍低保办理</w:t>
      </w:r>
      <w:proofErr w:type="gramEnd"/>
      <w:r>
        <w:rPr>
          <w:rFonts w:eastAsia="仿宋_GB2312" w:hint="eastAsia"/>
        </w:rPr>
        <w:t>、食品药品监管以及其他信息公开事项。开设政府信息查阅点，公开查询电话、查询时间，方便群众查询信息。</w:t>
      </w:r>
    </w:p>
    <w:p w:rsidR="00B36B67" w:rsidRDefault="00BA41F5">
      <w:pPr>
        <w:spacing w:line="560" w:lineRule="exact"/>
        <w:ind w:firstLineChars="200" w:firstLine="640"/>
        <w:rPr>
          <w:rFonts w:eastAsia="黑体"/>
          <w:szCs w:val="32"/>
        </w:rPr>
      </w:pPr>
      <w:r>
        <w:rPr>
          <w:rFonts w:eastAsia="黑体"/>
          <w:szCs w:val="32"/>
        </w:rPr>
        <w:t>六、其他需要报告的事项</w:t>
      </w:r>
    </w:p>
    <w:p w:rsidR="00B36B67" w:rsidRDefault="00BA41F5">
      <w:pPr>
        <w:spacing w:line="560" w:lineRule="exact"/>
        <w:ind w:firstLineChars="200" w:firstLine="640"/>
        <w:rPr>
          <w:rFonts w:eastAsia="楷体_GB2312"/>
          <w:szCs w:val="32"/>
        </w:rPr>
      </w:pPr>
      <w:r>
        <w:rPr>
          <w:rFonts w:eastAsia="楷体_GB2312"/>
          <w:szCs w:val="32"/>
        </w:rPr>
        <w:t>（一）政府信息公开信息处理费收取情况</w:t>
      </w:r>
    </w:p>
    <w:p w:rsidR="00427A11" w:rsidRDefault="00427A11">
      <w:pPr>
        <w:spacing w:line="560" w:lineRule="exact"/>
        <w:ind w:firstLineChars="200" w:firstLine="640"/>
        <w:rPr>
          <w:rFonts w:eastAsia="仿宋_GB2312"/>
        </w:rPr>
      </w:pPr>
      <w:r w:rsidRPr="00427A11">
        <w:rPr>
          <w:rFonts w:eastAsia="仿宋_GB2312" w:hint="eastAsia"/>
        </w:rPr>
        <w:t>根据《国务院办公厅关于印发</w:t>
      </w:r>
      <w:r w:rsidRPr="00427A11">
        <w:rPr>
          <w:rFonts w:eastAsia="仿宋_GB2312" w:hint="eastAsia"/>
        </w:rPr>
        <w:t>&lt;</w:t>
      </w:r>
      <w:r w:rsidRPr="00427A11">
        <w:rPr>
          <w:rFonts w:eastAsia="仿宋_GB2312" w:hint="eastAsia"/>
        </w:rPr>
        <w:t>政府信息公开信息处理费管理办法</w:t>
      </w:r>
      <w:r w:rsidRPr="00427A11">
        <w:rPr>
          <w:rFonts w:eastAsia="仿宋_GB2312" w:hint="eastAsia"/>
        </w:rPr>
        <w:t>&gt;</w:t>
      </w:r>
      <w:r w:rsidRPr="00427A11">
        <w:rPr>
          <w:rFonts w:eastAsia="仿宋_GB2312" w:hint="eastAsia"/>
        </w:rPr>
        <w:t>的通知》（国办函〔</w:t>
      </w:r>
      <w:r w:rsidRPr="00427A11">
        <w:rPr>
          <w:rFonts w:eastAsia="仿宋_GB2312" w:hint="eastAsia"/>
        </w:rPr>
        <w:t>2020</w:t>
      </w:r>
      <w:r w:rsidRPr="00427A11">
        <w:rPr>
          <w:rFonts w:eastAsia="仿宋_GB2312" w:hint="eastAsia"/>
        </w:rPr>
        <w:t>〕</w:t>
      </w:r>
      <w:r w:rsidRPr="00427A11">
        <w:rPr>
          <w:rFonts w:eastAsia="仿宋_GB2312" w:hint="eastAsia"/>
        </w:rPr>
        <w:t>109</w:t>
      </w:r>
      <w:r w:rsidRPr="00427A11">
        <w:rPr>
          <w:rFonts w:eastAsia="仿宋_GB2312" w:hint="eastAsia"/>
        </w:rPr>
        <w:t>号）和《山东省人民政府办公厅关于做好政府信息公开信息处理费管理工作有关事项的通知》（鲁政办字〔</w:t>
      </w:r>
      <w:r w:rsidRPr="00427A11">
        <w:rPr>
          <w:rFonts w:eastAsia="仿宋_GB2312" w:hint="eastAsia"/>
        </w:rPr>
        <w:t>2020</w:t>
      </w:r>
      <w:r w:rsidRPr="00427A11">
        <w:rPr>
          <w:rFonts w:eastAsia="仿宋_GB2312" w:hint="eastAsia"/>
        </w:rPr>
        <w:t>〕</w:t>
      </w:r>
      <w:r w:rsidRPr="00427A11">
        <w:rPr>
          <w:rFonts w:eastAsia="仿宋_GB2312" w:hint="eastAsia"/>
        </w:rPr>
        <w:t>179</w:t>
      </w:r>
      <w:r w:rsidRPr="00427A11">
        <w:rPr>
          <w:rFonts w:eastAsia="仿宋_GB2312" w:hint="eastAsia"/>
        </w:rPr>
        <w:t>号）规定，</w:t>
      </w:r>
      <w:r w:rsidRPr="00427A11">
        <w:rPr>
          <w:rFonts w:eastAsia="仿宋_GB2312" w:hint="eastAsia"/>
        </w:rPr>
        <w:t>2023</w:t>
      </w:r>
      <w:r w:rsidRPr="00427A11">
        <w:rPr>
          <w:rFonts w:eastAsia="仿宋_GB2312" w:hint="eastAsia"/>
        </w:rPr>
        <w:t>年本机关依申请公开政府信息未收取任何费用。</w:t>
      </w:r>
    </w:p>
    <w:p w:rsidR="00B36B67" w:rsidRDefault="00BA41F5">
      <w:pPr>
        <w:spacing w:line="560" w:lineRule="exact"/>
        <w:ind w:firstLineChars="200" w:firstLine="640"/>
        <w:rPr>
          <w:rFonts w:eastAsia="楷体_GB2312"/>
          <w:szCs w:val="32"/>
        </w:rPr>
      </w:pPr>
      <w:r>
        <w:rPr>
          <w:rFonts w:eastAsia="楷体_GB2312"/>
          <w:szCs w:val="32"/>
        </w:rPr>
        <w:t>（二）落实上级年度政务公开工作要点情况</w:t>
      </w:r>
    </w:p>
    <w:p w:rsidR="00262452" w:rsidRDefault="00427A11" w:rsidP="00B63441">
      <w:pPr>
        <w:spacing w:line="560" w:lineRule="exact"/>
        <w:ind w:firstLineChars="200" w:firstLine="640"/>
        <w:rPr>
          <w:rFonts w:eastAsia="仿宋_GB2312"/>
          <w:szCs w:val="32"/>
        </w:rPr>
      </w:pPr>
      <w:r w:rsidRPr="00427A11">
        <w:rPr>
          <w:rFonts w:eastAsia="仿宋_GB2312" w:hint="eastAsia"/>
        </w:rPr>
        <w:t>根据《</w:t>
      </w:r>
      <w:r w:rsidRPr="00427A11">
        <w:rPr>
          <w:rFonts w:eastAsia="仿宋_GB2312" w:hint="eastAsia"/>
        </w:rPr>
        <w:t>2023</w:t>
      </w:r>
      <w:r w:rsidRPr="00427A11">
        <w:rPr>
          <w:rFonts w:eastAsia="仿宋_GB2312" w:hint="eastAsia"/>
        </w:rPr>
        <w:t>年山东省政务公开工作要点》《</w:t>
      </w:r>
      <w:r w:rsidRPr="00427A11">
        <w:rPr>
          <w:rFonts w:eastAsia="仿宋_GB2312" w:hint="eastAsia"/>
        </w:rPr>
        <w:t>2023</w:t>
      </w:r>
      <w:r w:rsidRPr="00427A11">
        <w:rPr>
          <w:rFonts w:eastAsia="仿宋_GB2312" w:hint="eastAsia"/>
        </w:rPr>
        <w:t>年淄博市政务公开工作方案》《</w:t>
      </w:r>
      <w:r w:rsidRPr="00427A11">
        <w:rPr>
          <w:rFonts w:eastAsia="仿宋_GB2312" w:hint="eastAsia"/>
        </w:rPr>
        <w:t>2023</w:t>
      </w:r>
      <w:r w:rsidRPr="00427A11">
        <w:rPr>
          <w:rFonts w:eastAsia="仿宋_GB2312" w:hint="eastAsia"/>
        </w:rPr>
        <w:t>年高青县政务公开工作方案》，</w:t>
      </w:r>
      <w:r w:rsidR="00BA41F5">
        <w:rPr>
          <w:rFonts w:eastAsia="仿宋_GB2312"/>
        </w:rPr>
        <w:t>制定《</w:t>
      </w:r>
      <w:r>
        <w:rPr>
          <w:rFonts w:eastAsia="仿宋_GB2312" w:hint="eastAsia"/>
        </w:rPr>
        <w:t>2023</w:t>
      </w:r>
      <w:r>
        <w:rPr>
          <w:rFonts w:eastAsia="仿宋_GB2312" w:hint="eastAsia"/>
        </w:rPr>
        <w:t>年</w:t>
      </w:r>
      <w:r w:rsidR="00BA41F5">
        <w:rPr>
          <w:rFonts w:eastAsia="仿宋_GB2312"/>
        </w:rPr>
        <w:t>高青县唐坊镇政务公开工作方案》，明确重点任务、工作标准和完成时限。</w:t>
      </w:r>
      <w:r>
        <w:rPr>
          <w:rFonts w:eastAsia="仿宋_GB2312" w:hint="eastAsia"/>
        </w:rPr>
        <w:t>一是</w:t>
      </w:r>
      <w:r w:rsidR="00262452">
        <w:rPr>
          <w:rFonts w:eastAsia="仿宋_GB2312" w:hint="eastAsia"/>
        </w:rPr>
        <w:t>高质量做好重点领域信息公开。按季度公开政府工作报告、年度重点任务、民生实事项目工作进展。借助村级宣传栏、政务新媒体等形式对渠道公开社会救助、涉农补贴、安全生产等信息</w:t>
      </w:r>
      <w:r w:rsidR="00B63441">
        <w:rPr>
          <w:rFonts w:eastAsia="仿宋_GB2312" w:hint="eastAsia"/>
        </w:rPr>
        <w:t>。做好乡村振兴领域政策文件发布及解读，多形式解读政策文件。规范开展法治政府建设、建议提案办理、行政执法公示等领域信息公开工作，确保“应公开尽公开”。</w:t>
      </w:r>
      <w:r w:rsidR="00262452">
        <w:rPr>
          <w:rFonts w:eastAsia="仿宋_GB2312" w:hint="eastAsia"/>
        </w:rPr>
        <w:t>二</w:t>
      </w:r>
      <w:r w:rsidR="00BA41F5">
        <w:rPr>
          <w:rFonts w:eastAsia="仿宋_GB2312"/>
        </w:rPr>
        <w:t>是</w:t>
      </w:r>
      <w:r w:rsidR="00262452">
        <w:rPr>
          <w:rFonts w:eastAsia="仿宋_GB2312" w:hint="eastAsia"/>
        </w:rPr>
        <w:t>严格</w:t>
      </w:r>
      <w:r w:rsidR="00262452">
        <w:rPr>
          <w:rFonts w:eastAsia="仿宋_GB2312" w:hint="eastAsia"/>
        </w:rPr>
        <w:lastRenderedPageBreak/>
        <w:t>信息公开时限</w:t>
      </w:r>
      <w:r w:rsidR="00BA41F5">
        <w:rPr>
          <w:rFonts w:eastAsia="仿宋_GB2312"/>
        </w:rPr>
        <w:t>，</w:t>
      </w:r>
      <w:r w:rsidR="00262452">
        <w:rPr>
          <w:rFonts w:eastAsia="仿宋_GB2312" w:hint="eastAsia"/>
        </w:rPr>
        <w:t>提升信息公开时效</w:t>
      </w:r>
      <w:r w:rsidR="00BA41F5">
        <w:rPr>
          <w:rFonts w:eastAsia="仿宋_GB2312"/>
        </w:rPr>
        <w:t>。</w:t>
      </w:r>
      <w:r w:rsidR="00262452">
        <w:rPr>
          <w:rFonts w:eastAsia="仿宋_GB2312"/>
        </w:rPr>
        <w:t>根据人员实际调整，随时更新领导信息、机构设置和直属单位或下属机构等人员信息</w:t>
      </w:r>
      <w:r w:rsidR="00B63441">
        <w:rPr>
          <w:rFonts w:eastAsia="仿宋_GB2312" w:hint="eastAsia"/>
        </w:rPr>
        <w:t>；</w:t>
      </w:r>
      <w:r w:rsidR="00BA41F5">
        <w:rPr>
          <w:rFonts w:eastAsia="仿宋_GB2312"/>
        </w:rPr>
        <w:t>通过政务新媒体积极转载</w:t>
      </w:r>
      <w:r w:rsidR="00262452">
        <w:rPr>
          <w:rFonts w:eastAsia="仿宋_GB2312" w:hint="eastAsia"/>
        </w:rPr>
        <w:t>重大</w:t>
      </w:r>
      <w:r w:rsidR="00BA41F5">
        <w:rPr>
          <w:rFonts w:eastAsia="仿宋_GB2312"/>
        </w:rPr>
        <w:t>信息</w:t>
      </w:r>
      <w:r w:rsidR="00B63441">
        <w:rPr>
          <w:rFonts w:eastAsia="仿宋_GB2312" w:hint="eastAsia"/>
        </w:rPr>
        <w:t>；及时发布补贴办理、养老服务等信息，确保</w:t>
      </w:r>
      <w:proofErr w:type="gramStart"/>
      <w:r w:rsidR="00B63441">
        <w:rPr>
          <w:rFonts w:eastAsia="仿宋_GB2312" w:hint="eastAsia"/>
        </w:rPr>
        <w:t>群众第</w:t>
      </w:r>
      <w:proofErr w:type="gramEnd"/>
      <w:r w:rsidR="00B63441">
        <w:rPr>
          <w:rFonts w:eastAsia="仿宋_GB2312" w:hint="eastAsia"/>
        </w:rPr>
        <w:t>一时间获取所需信息。</w:t>
      </w:r>
      <w:r w:rsidR="00262452">
        <w:rPr>
          <w:rFonts w:eastAsia="仿宋_GB2312"/>
          <w:szCs w:val="32"/>
        </w:rPr>
        <w:t>三是加强</w:t>
      </w:r>
      <w:r w:rsidR="00262452">
        <w:rPr>
          <w:rFonts w:eastAsia="仿宋_GB2312" w:hint="eastAsia"/>
          <w:szCs w:val="32"/>
        </w:rPr>
        <w:t>信息公开平台</w:t>
      </w:r>
      <w:r w:rsidR="00262452">
        <w:rPr>
          <w:rFonts w:eastAsia="仿宋_GB2312"/>
          <w:szCs w:val="32"/>
        </w:rPr>
        <w:t>管理。每月对本机关开办的政务新媒体进行一次全面检查</w:t>
      </w:r>
      <w:r w:rsidR="00262452">
        <w:rPr>
          <w:rFonts w:eastAsia="仿宋_GB2312" w:hint="eastAsia"/>
          <w:szCs w:val="32"/>
        </w:rPr>
        <w:t>，重点规范信息不更新、互动</w:t>
      </w:r>
      <w:proofErr w:type="gramStart"/>
      <w:r w:rsidR="00262452">
        <w:rPr>
          <w:rFonts w:eastAsia="仿宋_GB2312" w:hint="eastAsia"/>
          <w:szCs w:val="32"/>
        </w:rPr>
        <w:t>不</w:t>
      </w:r>
      <w:proofErr w:type="gramEnd"/>
      <w:r w:rsidR="00262452">
        <w:rPr>
          <w:rFonts w:eastAsia="仿宋_GB2312" w:hint="eastAsia"/>
          <w:szCs w:val="32"/>
        </w:rPr>
        <w:t>回应、服务不实用等问题。四是做好</w:t>
      </w:r>
      <w:r w:rsidR="00B63441">
        <w:rPr>
          <w:rFonts w:eastAsia="仿宋_GB2312" w:hint="eastAsia"/>
          <w:szCs w:val="32"/>
        </w:rPr>
        <w:t>“政务公开在行动”</w:t>
      </w:r>
      <w:r w:rsidR="00262452">
        <w:rPr>
          <w:rFonts w:eastAsia="仿宋_GB2312" w:hint="eastAsia"/>
          <w:szCs w:val="32"/>
        </w:rPr>
        <w:t>信息报送。</w:t>
      </w:r>
      <w:r w:rsidR="00B63441" w:rsidRPr="00B63441">
        <w:rPr>
          <w:rFonts w:eastAsia="仿宋_GB2312" w:hint="eastAsia"/>
          <w:szCs w:val="32"/>
        </w:rPr>
        <w:t>围绕重点难点亮点工作，</w:t>
      </w:r>
      <w:r w:rsidR="00262452">
        <w:rPr>
          <w:rFonts w:eastAsia="仿宋_GB2312" w:hint="eastAsia"/>
          <w:szCs w:val="32"/>
        </w:rPr>
        <w:t>及时提炼政务公开工作典型经</w:t>
      </w:r>
      <w:r w:rsidR="00B63441">
        <w:rPr>
          <w:rFonts w:eastAsia="仿宋_GB2312" w:hint="eastAsia"/>
          <w:szCs w:val="32"/>
        </w:rPr>
        <w:t>验做法，</w:t>
      </w:r>
      <w:r w:rsidR="005E5963" w:rsidRPr="00B63441">
        <w:rPr>
          <w:rFonts w:eastAsia="仿宋_GB2312" w:hint="eastAsia"/>
          <w:szCs w:val="32"/>
        </w:rPr>
        <w:t>努力提高报送稿件的质量和水平。</w:t>
      </w:r>
    </w:p>
    <w:p w:rsidR="00B36B67" w:rsidRDefault="00BA41F5">
      <w:pPr>
        <w:spacing w:line="560" w:lineRule="exact"/>
        <w:ind w:firstLineChars="200" w:firstLine="640"/>
        <w:rPr>
          <w:rFonts w:eastAsia="楷体_GB2312"/>
          <w:szCs w:val="32"/>
        </w:rPr>
      </w:pPr>
      <w:r>
        <w:rPr>
          <w:rFonts w:eastAsia="楷体_GB2312"/>
          <w:szCs w:val="32"/>
        </w:rPr>
        <w:t>（三）人大代表建议和政协提案办理结果公开情况</w:t>
      </w:r>
    </w:p>
    <w:p w:rsidR="00B36B67" w:rsidRDefault="00BA41F5">
      <w:pPr>
        <w:spacing w:line="560" w:lineRule="exact"/>
        <w:ind w:firstLineChars="200" w:firstLine="640"/>
        <w:rPr>
          <w:rFonts w:eastAsia="仿宋_GB2312"/>
        </w:rPr>
      </w:pPr>
      <w:r>
        <w:rPr>
          <w:rFonts w:eastAsia="仿宋_GB2312"/>
        </w:rPr>
        <w:t>2023</w:t>
      </w:r>
      <w:r>
        <w:rPr>
          <w:rFonts w:eastAsia="仿宋_GB2312"/>
        </w:rPr>
        <w:t>年未</w:t>
      </w:r>
      <w:proofErr w:type="gramStart"/>
      <w:r>
        <w:rPr>
          <w:rFonts w:eastAsia="仿宋_GB2312"/>
        </w:rPr>
        <w:t>承办县</w:t>
      </w:r>
      <w:proofErr w:type="gramEnd"/>
      <w:r>
        <w:rPr>
          <w:rFonts w:eastAsia="仿宋_GB2312"/>
        </w:rPr>
        <w:t>十八届人大二次会议建议、县政协十五届二次会议提案。</w:t>
      </w:r>
    </w:p>
    <w:p w:rsidR="00B36B67" w:rsidRDefault="00BA41F5">
      <w:pPr>
        <w:spacing w:line="560" w:lineRule="exact"/>
        <w:ind w:firstLineChars="200" w:firstLine="640"/>
        <w:rPr>
          <w:rFonts w:eastAsia="楷体_GB2312"/>
          <w:szCs w:val="32"/>
        </w:rPr>
      </w:pPr>
      <w:r>
        <w:rPr>
          <w:rFonts w:eastAsia="楷体_GB2312"/>
          <w:szCs w:val="32"/>
        </w:rPr>
        <w:t>（四）政务公开工作创新情况</w:t>
      </w:r>
    </w:p>
    <w:p w:rsidR="00AC0C31" w:rsidRDefault="001E134E" w:rsidP="00AC0C31">
      <w:pPr>
        <w:ind w:firstLineChars="200" w:firstLine="640"/>
        <w:jc w:val="left"/>
        <w:rPr>
          <w:rFonts w:eastAsia="仿宋_GB2312"/>
          <w:szCs w:val="32"/>
        </w:rPr>
      </w:pPr>
      <w:r>
        <w:rPr>
          <w:rFonts w:eastAsia="仿宋_GB2312" w:hint="eastAsia"/>
          <w:szCs w:val="32"/>
        </w:rPr>
        <w:t>多形式回应群众关切</w:t>
      </w:r>
      <w:r w:rsidR="00BA41F5">
        <w:rPr>
          <w:rFonts w:eastAsia="仿宋_GB2312"/>
          <w:szCs w:val="32"/>
        </w:rPr>
        <w:t>。通过发放宣传资料、组织专题宣讲等方式向社会宣传政务公开的工作职责，确保公众</w:t>
      </w:r>
      <w:r>
        <w:rPr>
          <w:rFonts w:eastAsia="仿宋_GB2312" w:hint="eastAsia"/>
          <w:szCs w:val="32"/>
        </w:rPr>
        <w:t>能够</w:t>
      </w:r>
      <w:r w:rsidR="00BA41F5">
        <w:rPr>
          <w:rFonts w:eastAsia="仿宋_GB2312"/>
          <w:szCs w:val="32"/>
        </w:rPr>
        <w:t>了解和监管政府行为。</w:t>
      </w:r>
      <w:r>
        <w:rPr>
          <w:rFonts w:eastAsia="仿宋_GB2312" w:hint="eastAsia"/>
          <w:szCs w:val="32"/>
        </w:rPr>
        <w:t>优化</w:t>
      </w:r>
      <w:r w:rsidR="00BA41F5">
        <w:rPr>
          <w:rFonts w:eastAsia="仿宋_GB2312"/>
          <w:szCs w:val="32"/>
        </w:rPr>
        <w:t>微信公众号</w:t>
      </w:r>
      <w:r>
        <w:rPr>
          <w:rFonts w:eastAsia="仿宋_GB2312" w:hint="eastAsia"/>
          <w:szCs w:val="32"/>
        </w:rPr>
        <w:t>建设</w:t>
      </w:r>
      <w:r w:rsidR="00BA41F5">
        <w:rPr>
          <w:rFonts w:eastAsia="仿宋_GB2312"/>
          <w:szCs w:val="32"/>
        </w:rPr>
        <w:t>，提供</w:t>
      </w:r>
      <w:r w:rsidR="00BA41F5">
        <w:rPr>
          <w:rFonts w:eastAsia="仿宋_GB2312"/>
          <w:szCs w:val="32"/>
        </w:rPr>
        <w:t>“</w:t>
      </w:r>
      <w:r w:rsidR="00BA41F5">
        <w:rPr>
          <w:rFonts w:eastAsia="仿宋_GB2312"/>
          <w:szCs w:val="32"/>
        </w:rPr>
        <w:t>办事指南</w:t>
      </w:r>
      <w:r w:rsidR="00BA41F5">
        <w:rPr>
          <w:rFonts w:eastAsia="仿宋_GB2312"/>
          <w:szCs w:val="32"/>
        </w:rPr>
        <w:t>”</w:t>
      </w:r>
      <w:r w:rsidR="00BA41F5">
        <w:rPr>
          <w:rFonts w:eastAsia="仿宋_GB2312"/>
          <w:szCs w:val="32"/>
        </w:rPr>
        <w:t>、</w:t>
      </w:r>
      <w:r w:rsidR="00BA41F5">
        <w:rPr>
          <w:rFonts w:eastAsia="仿宋_GB2312"/>
          <w:szCs w:val="32"/>
        </w:rPr>
        <w:t>“</w:t>
      </w:r>
      <w:r w:rsidR="00BA41F5">
        <w:rPr>
          <w:rFonts w:eastAsia="仿宋_GB2312"/>
          <w:szCs w:val="32"/>
        </w:rPr>
        <w:t>便捷服务</w:t>
      </w:r>
      <w:r w:rsidR="00BA41F5">
        <w:rPr>
          <w:rFonts w:eastAsia="仿宋_GB2312"/>
          <w:szCs w:val="32"/>
        </w:rPr>
        <w:t>”</w:t>
      </w:r>
      <w:r w:rsidR="00BA41F5">
        <w:rPr>
          <w:rFonts w:eastAsia="仿宋_GB2312"/>
          <w:szCs w:val="32"/>
        </w:rPr>
        <w:t>等公共服务项目，利用</w:t>
      </w:r>
      <w:r w:rsidR="00AC0C31">
        <w:rPr>
          <w:rFonts w:eastAsia="仿宋_GB2312" w:hint="eastAsia"/>
          <w:szCs w:val="32"/>
        </w:rPr>
        <w:t>新媒体</w:t>
      </w:r>
      <w:r>
        <w:rPr>
          <w:rFonts w:eastAsia="仿宋_GB2312"/>
          <w:szCs w:val="32"/>
        </w:rPr>
        <w:t>平台</w:t>
      </w:r>
      <w:r>
        <w:rPr>
          <w:rFonts w:eastAsia="仿宋_GB2312" w:hint="eastAsia"/>
          <w:szCs w:val="32"/>
        </w:rPr>
        <w:t>倾听</w:t>
      </w:r>
      <w:r w:rsidR="00BA41F5">
        <w:rPr>
          <w:rFonts w:eastAsia="仿宋_GB2312"/>
          <w:szCs w:val="32"/>
        </w:rPr>
        <w:t>公众呼声、答复公众疑问、缓解公众困扰。</w:t>
      </w:r>
    </w:p>
    <w:p w:rsidR="00B36B67" w:rsidRDefault="00BA41F5">
      <w:pPr>
        <w:ind w:firstLineChars="200" w:firstLine="640"/>
        <w:jc w:val="left"/>
        <w:rPr>
          <w:rFonts w:eastAsia="楷体_GB2312"/>
          <w:sz w:val="30"/>
          <w:szCs w:val="30"/>
        </w:rPr>
      </w:pPr>
      <w:r>
        <w:rPr>
          <w:rFonts w:eastAsia="楷体_GB2312"/>
          <w:szCs w:val="32"/>
        </w:rPr>
        <w:t>（五）有关数据统计说明</w:t>
      </w:r>
    </w:p>
    <w:p w:rsidR="00B36B67" w:rsidRDefault="00BA41F5">
      <w:pPr>
        <w:spacing w:line="560" w:lineRule="exact"/>
        <w:ind w:firstLineChars="200" w:firstLine="640"/>
        <w:rPr>
          <w:rFonts w:eastAsia="仿宋_GB2312"/>
        </w:rPr>
      </w:pPr>
      <w:r>
        <w:rPr>
          <w:rFonts w:eastAsia="仿宋_GB2312"/>
        </w:rPr>
        <w:t>1.</w:t>
      </w:r>
      <w:r>
        <w:rPr>
          <w:rFonts w:eastAsia="仿宋_GB2312"/>
        </w:rPr>
        <w:t>报告中所列数据可能因四舍五入原因与数据直接相加之和存在尾数差异。</w:t>
      </w:r>
    </w:p>
    <w:p w:rsidR="00B36B67" w:rsidRDefault="00BA41F5">
      <w:pPr>
        <w:spacing w:line="560" w:lineRule="exact"/>
        <w:ind w:firstLineChars="200" w:firstLine="640"/>
        <w:rPr>
          <w:rFonts w:eastAsia="仿宋_GB2312"/>
        </w:rPr>
      </w:pPr>
      <w:r>
        <w:rPr>
          <w:rFonts w:eastAsia="仿宋_GB2312"/>
        </w:rPr>
        <w:t>2.</w:t>
      </w:r>
      <w:r>
        <w:rPr>
          <w:rFonts w:eastAsia="仿宋_GB2312"/>
        </w:rPr>
        <w:t>行政许可数量、行政处罚和行政强制数量，包括已公开和</w:t>
      </w:r>
      <w:proofErr w:type="gramStart"/>
      <w:r>
        <w:rPr>
          <w:rFonts w:eastAsia="仿宋_GB2312"/>
        </w:rPr>
        <w:t>依法未</w:t>
      </w:r>
      <w:proofErr w:type="gramEnd"/>
      <w:r>
        <w:rPr>
          <w:rFonts w:eastAsia="仿宋_GB2312"/>
        </w:rPr>
        <w:t>公开的全部处理决定。</w:t>
      </w:r>
    </w:p>
    <w:p w:rsidR="00B36B67" w:rsidRDefault="00BA41F5">
      <w:pPr>
        <w:spacing w:line="560" w:lineRule="exact"/>
        <w:ind w:firstLineChars="200" w:firstLine="640"/>
        <w:rPr>
          <w:rFonts w:eastAsia="仿宋_GB2312"/>
        </w:rPr>
      </w:pPr>
      <w:r>
        <w:rPr>
          <w:rFonts w:eastAsia="仿宋_GB2312"/>
        </w:rPr>
        <w:lastRenderedPageBreak/>
        <w:t>3.</w:t>
      </w:r>
      <w:r>
        <w:rPr>
          <w:rFonts w:eastAsia="仿宋_GB2312"/>
        </w:rPr>
        <w:t>行政复议机关作为共同被告的行政诉讼案件，只计算</w:t>
      </w:r>
      <w:proofErr w:type="gramStart"/>
      <w:r>
        <w:rPr>
          <w:rFonts w:eastAsia="仿宋_GB2312"/>
        </w:rPr>
        <w:t>原行为</w:t>
      </w:r>
      <w:proofErr w:type="gramEnd"/>
      <w:r>
        <w:rPr>
          <w:rFonts w:eastAsia="仿宋_GB2312"/>
        </w:rPr>
        <w:t>主体的案件数量，不计算行政复议机关的案件数量。</w:t>
      </w:r>
    </w:p>
    <w:p w:rsidR="00B36B67" w:rsidRDefault="00B36B67">
      <w:pPr>
        <w:ind w:firstLine="0"/>
        <w:jc w:val="left"/>
        <w:rPr>
          <w:rFonts w:eastAsia="仿宋_GB2312"/>
        </w:rPr>
      </w:pPr>
    </w:p>
    <w:p w:rsidR="00B36B67" w:rsidRDefault="00B36B67">
      <w:pPr>
        <w:ind w:firstLineChars="200" w:firstLine="600"/>
        <w:jc w:val="left"/>
        <w:rPr>
          <w:rFonts w:eastAsia="楷体_GB2312"/>
          <w:sz w:val="30"/>
          <w:szCs w:val="30"/>
        </w:rPr>
      </w:pPr>
    </w:p>
    <w:p w:rsidR="00B36B67" w:rsidRDefault="00B36B67">
      <w:pPr>
        <w:spacing w:line="560" w:lineRule="exact"/>
        <w:ind w:firstLineChars="200" w:firstLine="600"/>
        <w:rPr>
          <w:rFonts w:eastAsia="楷体_GB2312"/>
          <w:sz w:val="30"/>
          <w:szCs w:val="30"/>
        </w:rPr>
      </w:pPr>
    </w:p>
    <w:sectPr w:rsidR="00B36B6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0F0" w:rsidRDefault="00AB20F0">
      <w:pPr>
        <w:spacing w:line="240" w:lineRule="auto"/>
      </w:pPr>
      <w:r>
        <w:separator/>
      </w:r>
    </w:p>
  </w:endnote>
  <w:endnote w:type="continuationSeparator" w:id="0">
    <w:p w:rsidR="00AB20F0" w:rsidRDefault="00AB2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0F0" w:rsidRDefault="00AB20F0">
      <w:pPr>
        <w:spacing w:line="240" w:lineRule="auto"/>
      </w:pPr>
      <w:r>
        <w:separator/>
      </w:r>
    </w:p>
  </w:footnote>
  <w:footnote w:type="continuationSeparator" w:id="0">
    <w:p w:rsidR="00AB20F0" w:rsidRDefault="00AB20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NmFmYWZiYjZkMGY0ZmQxOGY2MTQ3MDU1NzdjNmMifQ=="/>
  </w:docVars>
  <w:rsids>
    <w:rsidRoot w:val="002E3543"/>
    <w:rsid w:val="EF4A421A"/>
    <w:rsid w:val="000164E6"/>
    <w:rsid w:val="00024945"/>
    <w:rsid w:val="000921E6"/>
    <w:rsid w:val="00110130"/>
    <w:rsid w:val="00117733"/>
    <w:rsid w:val="00121DCF"/>
    <w:rsid w:val="0016471E"/>
    <w:rsid w:val="00165CD1"/>
    <w:rsid w:val="001E134E"/>
    <w:rsid w:val="00210F4D"/>
    <w:rsid w:val="00211942"/>
    <w:rsid w:val="002133C7"/>
    <w:rsid w:val="002401C2"/>
    <w:rsid w:val="00251C9C"/>
    <w:rsid w:val="00262452"/>
    <w:rsid w:val="002961F2"/>
    <w:rsid w:val="002B2E5E"/>
    <w:rsid w:val="002E3543"/>
    <w:rsid w:val="003B5255"/>
    <w:rsid w:val="003C435A"/>
    <w:rsid w:val="003D2801"/>
    <w:rsid w:val="003D6FCB"/>
    <w:rsid w:val="003E75A6"/>
    <w:rsid w:val="00415AB1"/>
    <w:rsid w:val="00427A11"/>
    <w:rsid w:val="004622F8"/>
    <w:rsid w:val="004C1750"/>
    <w:rsid w:val="004D241E"/>
    <w:rsid w:val="00515DB1"/>
    <w:rsid w:val="00523855"/>
    <w:rsid w:val="005422B3"/>
    <w:rsid w:val="00562F4D"/>
    <w:rsid w:val="00573758"/>
    <w:rsid w:val="00591E5D"/>
    <w:rsid w:val="005C0F41"/>
    <w:rsid w:val="005D7B64"/>
    <w:rsid w:val="005E5963"/>
    <w:rsid w:val="0065765D"/>
    <w:rsid w:val="00673AC7"/>
    <w:rsid w:val="006947A5"/>
    <w:rsid w:val="00704FCD"/>
    <w:rsid w:val="007F2A3D"/>
    <w:rsid w:val="00857B77"/>
    <w:rsid w:val="008C4ED2"/>
    <w:rsid w:val="008E6BA7"/>
    <w:rsid w:val="00915D0B"/>
    <w:rsid w:val="009A3BEA"/>
    <w:rsid w:val="009B028C"/>
    <w:rsid w:val="009D5071"/>
    <w:rsid w:val="00A41CE1"/>
    <w:rsid w:val="00A8739B"/>
    <w:rsid w:val="00AB20F0"/>
    <w:rsid w:val="00AC0C31"/>
    <w:rsid w:val="00B36B67"/>
    <w:rsid w:val="00B63441"/>
    <w:rsid w:val="00BA41F5"/>
    <w:rsid w:val="00C17A31"/>
    <w:rsid w:val="00C542CC"/>
    <w:rsid w:val="00C67940"/>
    <w:rsid w:val="00C73BD0"/>
    <w:rsid w:val="00CB2FA5"/>
    <w:rsid w:val="00CC2BE7"/>
    <w:rsid w:val="00CC521B"/>
    <w:rsid w:val="00CD1D00"/>
    <w:rsid w:val="00D824A5"/>
    <w:rsid w:val="00D9734E"/>
    <w:rsid w:val="00DA435E"/>
    <w:rsid w:val="00DC0B12"/>
    <w:rsid w:val="00E43D21"/>
    <w:rsid w:val="00E60B5D"/>
    <w:rsid w:val="00E8287D"/>
    <w:rsid w:val="00EA0721"/>
    <w:rsid w:val="00EA40E8"/>
    <w:rsid w:val="00EF5607"/>
    <w:rsid w:val="00F704D9"/>
    <w:rsid w:val="00FA216A"/>
    <w:rsid w:val="00FD5381"/>
    <w:rsid w:val="01CA3F1A"/>
    <w:rsid w:val="01DC338D"/>
    <w:rsid w:val="02160F0D"/>
    <w:rsid w:val="030D40BE"/>
    <w:rsid w:val="04A00001"/>
    <w:rsid w:val="04F8558C"/>
    <w:rsid w:val="068D17EB"/>
    <w:rsid w:val="0BE8391A"/>
    <w:rsid w:val="0C304E24"/>
    <w:rsid w:val="0C460641"/>
    <w:rsid w:val="0E883A30"/>
    <w:rsid w:val="0ED46E49"/>
    <w:rsid w:val="10ED3781"/>
    <w:rsid w:val="11716160"/>
    <w:rsid w:val="118F097C"/>
    <w:rsid w:val="11A45B9C"/>
    <w:rsid w:val="15081A05"/>
    <w:rsid w:val="15567B46"/>
    <w:rsid w:val="1C011E0E"/>
    <w:rsid w:val="1C5935DB"/>
    <w:rsid w:val="1E4349A2"/>
    <w:rsid w:val="1E4470D6"/>
    <w:rsid w:val="228B1C2C"/>
    <w:rsid w:val="22C2681B"/>
    <w:rsid w:val="25567F8C"/>
    <w:rsid w:val="280B47C0"/>
    <w:rsid w:val="2C730B86"/>
    <w:rsid w:val="2CD5539D"/>
    <w:rsid w:val="2DEC6E42"/>
    <w:rsid w:val="2EE47B19"/>
    <w:rsid w:val="2F106B60"/>
    <w:rsid w:val="2F30532F"/>
    <w:rsid w:val="2FC260AC"/>
    <w:rsid w:val="2FE93535"/>
    <w:rsid w:val="30450A8C"/>
    <w:rsid w:val="32D85BE7"/>
    <w:rsid w:val="34923122"/>
    <w:rsid w:val="37972EC4"/>
    <w:rsid w:val="37A91900"/>
    <w:rsid w:val="381C20D2"/>
    <w:rsid w:val="39AD1B7B"/>
    <w:rsid w:val="3B194FEF"/>
    <w:rsid w:val="3B783AC3"/>
    <w:rsid w:val="3CC2593E"/>
    <w:rsid w:val="3DD1395F"/>
    <w:rsid w:val="3E5C591E"/>
    <w:rsid w:val="400120D3"/>
    <w:rsid w:val="40E273FB"/>
    <w:rsid w:val="42485A45"/>
    <w:rsid w:val="453E79A8"/>
    <w:rsid w:val="45CF2E79"/>
    <w:rsid w:val="465D29B3"/>
    <w:rsid w:val="47C167F2"/>
    <w:rsid w:val="48223734"/>
    <w:rsid w:val="489E7916"/>
    <w:rsid w:val="48A04659"/>
    <w:rsid w:val="49214289"/>
    <w:rsid w:val="4A38723F"/>
    <w:rsid w:val="4B40491C"/>
    <w:rsid w:val="4D550108"/>
    <w:rsid w:val="4DF36720"/>
    <w:rsid w:val="4ED40304"/>
    <w:rsid w:val="4EDF1907"/>
    <w:rsid w:val="4FFD05E3"/>
    <w:rsid w:val="52900819"/>
    <w:rsid w:val="54216F96"/>
    <w:rsid w:val="565D55E0"/>
    <w:rsid w:val="59224C88"/>
    <w:rsid w:val="595C7723"/>
    <w:rsid w:val="624F2F20"/>
    <w:rsid w:val="65DF36C2"/>
    <w:rsid w:val="65FA7647"/>
    <w:rsid w:val="673E0C66"/>
    <w:rsid w:val="67D0240D"/>
    <w:rsid w:val="68307350"/>
    <w:rsid w:val="6AAB290E"/>
    <w:rsid w:val="6B182A49"/>
    <w:rsid w:val="6CAB1E1A"/>
    <w:rsid w:val="6E851A78"/>
    <w:rsid w:val="6F467459"/>
    <w:rsid w:val="705931BC"/>
    <w:rsid w:val="71995F66"/>
    <w:rsid w:val="72021B5A"/>
    <w:rsid w:val="72682E09"/>
    <w:rsid w:val="73FF0806"/>
    <w:rsid w:val="753D12FE"/>
    <w:rsid w:val="77B21B30"/>
    <w:rsid w:val="77B37656"/>
    <w:rsid w:val="78361943"/>
    <w:rsid w:val="7A94551C"/>
    <w:rsid w:val="7B913075"/>
    <w:rsid w:val="7C0C5586"/>
    <w:rsid w:val="7EC32874"/>
    <w:rsid w:val="7EE8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5&#26376;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mn-lt"/>
                <a:ea typeface="+mn-ea"/>
                <a:cs typeface="+mn-cs"/>
              </a:defRPr>
            </a:pPr>
            <a:r>
              <a:rPr lang="en-US" altLang="zh-CN"/>
              <a:t>2023</a:t>
            </a:r>
            <a:r>
              <a:rPr lang="zh-CN" altLang="en-US"/>
              <a:t>年政府信息</a:t>
            </a:r>
            <a:r>
              <a:rPr lang="zh-CN" altLang="zh-CN" sz="1400" b="0" i="0" u="none" strike="noStrike" baseline="0">
                <a:effectLst/>
              </a:rPr>
              <a:t>公开</a:t>
            </a:r>
            <a:r>
              <a:rPr lang="zh-CN" altLang="en-US" sz="1400" b="0" i="0" u="none" strike="noStrike" baseline="0">
                <a:effectLst/>
              </a:rPr>
              <a:t>数据</a:t>
            </a:r>
            <a:endParaRPr lang="zh-CN" altLang="en-US"/>
          </a:p>
        </c:rich>
      </c:tx>
      <c:layout>
        <c:manualLayout>
          <c:xMode val="edge"/>
          <c:yMode val="edge"/>
          <c:x val="0.24369338738557311"/>
          <c:y val="1.6666666666666666E-2"/>
        </c:manualLayout>
      </c:layout>
      <c:overlay val="0"/>
      <c:spPr>
        <a:noFill/>
        <a:ln>
          <a:noFill/>
        </a:ln>
        <a:effectLst/>
      </c:spPr>
    </c:title>
    <c:autoTitleDeleted val="0"/>
    <c:plotArea>
      <c:layout/>
      <c:pieChart>
        <c:varyColors val="1"/>
        <c:ser>
          <c:idx val="0"/>
          <c:order val="0"/>
          <c:spPr>
            <a:ln w="15875">
              <a:solidFill>
                <a:sysClr val="window" lastClr="CCE8CF"/>
              </a:solidFill>
            </a:ln>
            <a:effectLst>
              <a:outerShdw blurRad="50800" dist="38100" dir="2700000" algn="tl" rotWithShape="0">
                <a:prstClr val="black">
                  <a:alpha val="40000"/>
                </a:prstClr>
              </a:outerShdw>
            </a:effectLst>
            <a:sp3d contourW="15875"/>
          </c:spPr>
          <c:dPt>
            <c:idx val="0"/>
            <c:bubble3D val="0"/>
            <c:spPr>
              <a:gradFill>
                <a:gsLst>
                  <a:gs pos="0">
                    <a:srgbClr val="F79646">
                      <a:lumMod val="60000"/>
                      <a:lumOff val="40000"/>
                    </a:srgbClr>
                  </a:gs>
                  <a:gs pos="83000">
                    <a:srgbClr val="F79646"/>
                  </a:gs>
                </a:gsLst>
                <a:lin ang="2700000"/>
              </a:gradFill>
              <a:ln w="15875">
                <a:solidFill>
                  <a:sysClr val="window" lastClr="CCE8CF"/>
                </a:solidFill>
              </a:ln>
              <a:effectLst>
                <a:outerShdw blurRad="50800" dist="38100" dir="2700000" algn="tl" rotWithShape="0">
                  <a:srgbClr val="F79646">
                    <a:lumMod val="50000"/>
                    <a:alpha val="40000"/>
                  </a:srgbClr>
                </a:outerShdw>
              </a:effectLst>
              <a:sp3d contourW="15875"/>
            </c:spPr>
          </c:dPt>
          <c:dPt>
            <c:idx val="1"/>
            <c:bubble3D val="0"/>
            <c:spPr>
              <a:gradFill>
                <a:gsLst>
                  <a:gs pos="0">
                    <a:srgbClr val="9BBB59">
                      <a:lumMod val="60000"/>
                      <a:lumOff val="40000"/>
                    </a:srgbClr>
                  </a:gs>
                  <a:gs pos="83000">
                    <a:srgbClr val="9BBB59"/>
                  </a:gs>
                </a:gsLst>
                <a:lin ang="2700000"/>
              </a:gradFill>
              <a:ln w="15875">
                <a:solidFill>
                  <a:sysClr val="window" lastClr="CCE8CF"/>
                </a:solidFill>
              </a:ln>
              <a:effectLst>
                <a:outerShdw blurRad="50800" dist="38100" dir="2700000" algn="tl" rotWithShape="0">
                  <a:srgbClr val="C0504D">
                    <a:lumMod val="50000"/>
                    <a:alpha val="40000"/>
                  </a:srgbClr>
                </a:outerShdw>
              </a:effectLst>
              <a:sp3d contourW="15875"/>
            </c:spPr>
          </c:dPt>
          <c:dPt>
            <c:idx val="2"/>
            <c:bubble3D val="0"/>
            <c:spPr>
              <a:gradFill>
                <a:gsLst>
                  <a:gs pos="0">
                    <a:srgbClr val="4BACC6">
                      <a:lumMod val="60000"/>
                      <a:lumOff val="40000"/>
                    </a:srgbClr>
                  </a:gs>
                  <a:gs pos="83000">
                    <a:srgbClr val="4BACC6"/>
                  </a:gs>
                </a:gsLst>
                <a:lin ang="2700000"/>
              </a:gradFill>
              <a:ln w="19050">
                <a:solidFill>
                  <a:sysClr val="window" lastClr="CCE8CF"/>
                </a:solidFill>
              </a:ln>
              <a:effectLst>
                <a:outerShdw blurRad="50800" dist="38100" dir="2700000" algn="tl" rotWithShape="0">
                  <a:srgbClr val="4BACC6">
                    <a:lumMod val="50000"/>
                    <a:alpha val="40000"/>
                  </a:srgbClr>
                </a:outerShdw>
              </a:effectLst>
              <a:sp3d contourW="19050"/>
            </c:spPr>
          </c:dPt>
          <c:dPt>
            <c:idx val="3"/>
            <c:bubble3D val="0"/>
            <c:spPr>
              <a:solidFill>
                <a:srgbClr val="8064A2"/>
              </a:solidFill>
              <a:ln w="15875">
                <a:solidFill>
                  <a:sysClr val="window" lastClr="CCE8CF"/>
                </a:solidFill>
              </a:ln>
              <a:effectLst>
                <a:outerShdw blurRad="50800" dist="38100" dir="2700000" algn="tl" rotWithShape="0">
                  <a:prstClr val="black">
                    <a:alpha val="40000"/>
                  </a:prstClr>
                </a:outerShdw>
              </a:effectLst>
              <a:sp3d contourW="15875"/>
            </c:spPr>
          </c:dPt>
          <c:dPt>
            <c:idx val="4"/>
            <c:bubble3D val="0"/>
            <c:spPr>
              <a:solidFill>
                <a:srgbClr val="4BACC6"/>
              </a:solidFill>
              <a:ln w="15875">
                <a:solidFill>
                  <a:sysClr val="window" lastClr="CCE8CF"/>
                </a:solidFill>
              </a:ln>
              <a:effectLst>
                <a:outerShdw blurRad="50800" dist="38100" dir="2700000" algn="tl" rotWithShape="0">
                  <a:prstClr val="black">
                    <a:alpha val="40000"/>
                  </a:prstClr>
                </a:outerShdw>
              </a:effectLst>
              <a:sp3d contourW="15875"/>
            </c:spPr>
          </c:dPt>
          <c:dPt>
            <c:idx val="5"/>
            <c:bubble3D val="0"/>
            <c:spPr>
              <a:solidFill>
                <a:srgbClr val="F79646"/>
              </a:solidFill>
              <a:ln w="15875">
                <a:solidFill>
                  <a:sysClr val="window" lastClr="CCE8CF"/>
                </a:solidFill>
              </a:ln>
              <a:effectLst>
                <a:outerShdw blurRad="50800" dist="38100" dir="2700000" algn="tl" rotWithShape="0">
                  <a:prstClr val="black">
                    <a:alpha val="40000"/>
                  </a:prstClr>
                </a:outerShdw>
              </a:effectLst>
              <a:sp3d contourW="15875"/>
            </c:spPr>
          </c:dPt>
          <c:dPt>
            <c:idx val="6"/>
            <c:bubble3D val="0"/>
            <c:spPr>
              <a:solidFill>
                <a:srgbClr val="4F81BD">
                  <a:lumMod val="6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7"/>
            <c:bubble3D val="0"/>
            <c:spPr>
              <a:solidFill>
                <a:srgbClr val="C0504D">
                  <a:lumMod val="6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8"/>
            <c:bubble3D val="0"/>
            <c:spPr>
              <a:solidFill>
                <a:srgbClr val="9BBB59">
                  <a:lumMod val="6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9"/>
            <c:bubble3D val="0"/>
            <c:spPr>
              <a:solidFill>
                <a:srgbClr val="8064A2">
                  <a:lumMod val="6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10"/>
            <c:bubble3D val="0"/>
            <c:spPr>
              <a:solidFill>
                <a:srgbClr val="4BACC6">
                  <a:lumMod val="6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11"/>
            <c:bubble3D val="0"/>
            <c:spPr>
              <a:solidFill>
                <a:srgbClr val="F79646">
                  <a:lumMod val="6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12"/>
            <c:bubble3D val="0"/>
            <c:spPr>
              <a:solidFill>
                <a:srgbClr val="4F81BD">
                  <a:lumMod val="80000"/>
                  <a:lumOff val="2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13"/>
            <c:bubble3D val="0"/>
            <c:spPr>
              <a:solidFill>
                <a:srgbClr val="C0504D">
                  <a:lumMod val="80000"/>
                  <a:lumOff val="20000"/>
                </a:srgbClr>
              </a:solidFill>
              <a:ln w="15875">
                <a:solidFill>
                  <a:sysClr val="window" lastClr="CCE8CF"/>
                </a:solidFill>
              </a:ln>
              <a:effectLst>
                <a:outerShdw blurRad="50800" dist="38100" dir="2700000" algn="tl" rotWithShape="0">
                  <a:prstClr val="black">
                    <a:alpha val="40000"/>
                  </a:prstClr>
                </a:outerShdw>
              </a:effectLst>
              <a:sp3d contourW="15875"/>
            </c:spPr>
          </c:dPt>
          <c:dPt>
            <c:idx val="14"/>
            <c:bubble3D val="0"/>
            <c:spPr>
              <a:solidFill>
                <a:srgbClr val="9BBB59">
                  <a:lumMod val="80000"/>
                  <a:lumOff val="20000"/>
                </a:srgbClr>
              </a:solidFill>
              <a:ln w="15875">
                <a:solidFill>
                  <a:sysClr val="window" lastClr="CCE8CF"/>
                </a:solidFill>
              </a:ln>
              <a:effectLst>
                <a:outerShdw blurRad="50800" dist="38100" dir="2700000" algn="tl" rotWithShape="0">
                  <a:prstClr val="black">
                    <a:alpha val="40000"/>
                  </a:prstClr>
                </a:outerShdw>
              </a:effectLst>
              <a:sp3d contourW="15875"/>
            </c:spPr>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 lastClr="CCE8CF"/>
                    </a:solidFill>
                    <a:effectLst/>
                    <a:latin typeface="+mn-lt"/>
                    <a:ea typeface="+mn-ea"/>
                    <a:cs typeface="+mn-cs"/>
                  </a:defRPr>
                </a:pPr>
                <a:endParaRPr lang="zh-CN"/>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true"/>
                <c15:leaderLines>
                  <c:spPr>
                    <a:ln w="9525" cap="flat" cmpd="sng" algn="ctr">
                      <a:solidFill>
                        <a:sysClr val="windowText" lastClr="000000">
                          <a:lumMod val="35000"/>
                          <a:lumOff val="65000"/>
                        </a:sysClr>
                      </a:solidFill>
                      <a:round/>
                    </a:ln>
                    <a:effectLst/>
                  </c:spPr>
                </c15:leaderLines>
              </c:ext>
            </c:extLst>
          </c:dLbls>
          <c:cat>
            <c:strRef>
              <c:f>'[5月1]5月1'!$A$1:$A$15</c:f>
              <c:strCache>
                <c:ptCount val="15"/>
                <c:pt idx="0">
                  <c:v>信息公开指南信息</c:v>
                </c:pt>
                <c:pt idx="1">
                  <c:v>机构职能</c:v>
                </c:pt>
                <c:pt idx="2">
                  <c:v>政策文件</c:v>
                </c:pt>
                <c:pt idx="3">
                  <c:v>政府会议</c:v>
                </c:pt>
                <c:pt idx="4">
                  <c:v>重要部署执行</c:v>
                </c:pt>
                <c:pt idx="5">
                  <c:v>建议提案办理</c:v>
                </c:pt>
                <c:pt idx="6">
                  <c:v>应急管理</c:v>
                </c:pt>
                <c:pt idx="7">
                  <c:v>公示公告</c:v>
                </c:pt>
                <c:pt idx="8">
                  <c:v>主动公开基本目录</c:v>
                </c:pt>
                <c:pt idx="9">
                  <c:v>政府信息公开年度报告</c:v>
                </c:pt>
                <c:pt idx="10">
                  <c:v>基层政务公开标准化规模化</c:v>
                </c:pt>
                <c:pt idx="11">
                  <c:v>政务公开组织管理</c:v>
                </c:pt>
                <c:pt idx="12">
                  <c:v>公共资源配置</c:v>
                </c:pt>
                <c:pt idx="13">
                  <c:v>法治政府建议</c:v>
                </c:pt>
                <c:pt idx="14">
                  <c:v>职能配置</c:v>
                </c:pt>
              </c:strCache>
            </c:strRef>
          </c:cat>
          <c:val>
            <c:numRef>
              <c:f>'[5月1]5月1'!$B$1:$B$15</c:f>
              <c:numCache>
                <c:formatCode>General</c:formatCode>
                <c:ptCount val="15"/>
                <c:pt idx="0">
                  <c:v>1</c:v>
                </c:pt>
                <c:pt idx="1">
                  <c:v>1</c:v>
                </c:pt>
                <c:pt idx="2">
                  <c:v>3</c:v>
                </c:pt>
                <c:pt idx="3">
                  <c:v>4</c:v>
                </c:pt>
                <c:pt idx="4">
                  <c:v>16</c:v>
                </c:pt>
                <c:pt idx="5">
                  <c:v>2</c:v>
                </c:pt>
                <c:pt idx="6">
                  <c:v>2</c:v>
                </c:pt>
                <c:pt idx="7">
                  <c:v>7</c:v>
                </c:pt>
                <c:pt idx="8">
                  <c:v>1</c:v>
                </c:pt>
                <c:pt idx="9">
                  <c:v>1</c:v>
                </c:pt>
                <c:pt idx="10">
                  <c:v>1</c:v>
                </c:pt>
                <c:pt idx="11">
                  <c:v>5</c:v>
                </c:pt>
                <c:pt idx="12">
                  <c:v>1</c:v>
                </c:pt>
                <c:pt idx="13">
                  <c:v>1</c:v>
                </c:pt>
                <c:pt idx="14">
                  <c:v>28</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manualLayout>
          <c:xMode val="edge"/>
          <c:yMode val="edge"/>
          <c:x val="0.67315789473684196"/>
          <c:y val="8.8425925925925894E-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lumMod val="50000"/>
                  <a:lumOff val="50000"/>
                </a:sysClr>
              </a:solidFill>
              <a:latin typeface="+mn-lt"/>
              <a:ea typeface="+mn-ea"/>
              <a:cs typeface="+mn-cs"/>
            </a:defRPr>
          </a:pPr>
          <a:endParaRPr lang="zh-CN"/>
        </a:p>
      </c:txPr>
    </c:legend>
    <c:plotVisOnly val="1"/>
    <c:dispBlanksAs val="gap"/>
    <c:showDLblsOverMax val="0"/>
  </c:chart>
  <c:spPr>
    <a:solidFill>
      <a:sysClr val="window" lastClr="CCE8CF"/>
    </a:solidFill>
    <a:ln w="9525" cap="flat" cmpd="sng" algn="ctr">
      <a:solidFill>
        <a:sysClr val="window" lastClr="CCE8CF">
          <a:lumMod val="85000"/>
        </a:sysClr>
      </a:solidFill>
      <a:round/>
    </a:ln>
    <a:effectLst>
      <a:outerShdw blurRad="63500" dist="37357" dir="2700000" sx="0" sy="0" rotWithShape="0">
        <a:scrgbClr r="0" g="0" b="0"/>
      </a:outerShdw>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8">
    <a:dk1>
      <a:srgbClr val="000000"/>
    </a:dk1>
    <a:lt1>
      <a:srgbClr val="FFFFFF"/>
    </a:lt1>
    <a:dk2>
      <a:srgbClr val="372824"/>
    </a:dk2>
    <a:lt2>
      <a:srgbClr val="FFFFFF"/>
    </a:lt2>
    <a:accent1>
      <a:srgbClr val="FFE84B"/>
    </a:accent1>
    <a:accent2>
      <a:srgbClr val="FFC529"/>
    </a:accent2>
    <a:accent3>
      <a:srgbClr val="FF9F15"/>
    </a:accent3>
    <a:accent4>
      <a:srgbClr val="FA7C00"/>
    </a:accent4>
    <a:accent5>
      <a:srgbClr val="FC6500"/>
    </a:accent5>
    <a:accent6>
      <a:srgbClr val="BE4828"/>
    </a:accent6>
    <a:hlink>
      <a:srgbClr val="F46B1C"/>
    </a:hlink>
    <a:folHlink>
      <a:srgbClr val="C2361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624</Words>
  <Characters>3561</Characters>
  <Application>Microsoft Office Word</Application>
  <DocSecurity>0</DocSecurity>
  <Lines>29</Lines>
  <Paragraphs>8</Paragraphs>
  <ScaleCrop>false</ScaleCrop>
  <Company>gq</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33</cp:revision>
  <dcterms:created xsi:type="dcterms:W3CDTF">2022-01-02T09:04:00Z</dcterms:created>
  <dcterms:modified xsi:type="dcterms:W3CDTF">2024-01-22T07:05:00Z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D20454F7F6D34FD5B11AA6CD6794CBC4_13</vt:lpwstr>
  </property>
</Properties>
</file>