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Times New Roman" w:hAnsi="Times New Roman" w:eastAsia="方正小标宋简体" w:cs="Times New Roman"/>
          <w:bCs/>
          <w:color w:val="000000"/>
          <w:sz w:val="44"/>
          <w:szCs w:val="44"/>
          <w:lang w:val="en-US" w:eastAsia="zh-CN"/>
        </w:rPr>
        <w:t>高青县</w:t>
      </w:r>
      <w:r>
        <w:rPr>
          <w:rFonts w:hint="default" w:ascii="Times New Roman" w:hAnsi="Times New Roman" w:eastAsia="方正小标宋简体" w:cs="Times New Roman"/>
          <w:bCs/>
          <w:color w:val="000000"/>
          <w:sz w:val="44"/>
          <w:szCs w:val="44"/>
        </w:rPr>
        <w:t>统计领域基层政务公开标准目录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66"/>
        <w:gridCol w:w="880"/>
        <w:gridCol w:w="1178"/>
        <w:gridCol w:w="1420"/>
        <w:gridCol w:w="1743"/>
        <w:gridCol w:w="1063"/>
        <w:gridCol w:w="1099"/>
        <w:gridCol w:w="2650"/>
        <w:gridCol w:w="569"/>
        <w:gridCol w:w="458"/>
        <w:gridCol w:w="569"/>
        <w:gridCol w:w="563"/>
        <w:gridCol w:w="527"/>
        <w:gridCol w:w="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5" w:hRule="atLeast"/>
        </w:trPr>
        <w:tc>
          <w:tcPr>
            <w:tcW w:w="179" w:type="pct"/>
            <w:vMerge w:val="restart"/>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序号</w:t>
            </w:r>
          </w:p>
        </w:tc>
        <w:tc>
          <w:tcPr>
            <w:tcW w:w="766" w:type="pct"/>
            <w:gridSpan w:val="2"/>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公开事项</w:t>
            </w:r>
          </w:p>
        </w:tc>
        <w:tc>
          <w:tcPr>
            <w:tcW w:w="524" w:type="pct"/>
            <w:vMerge w:val="restart"/>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公开内容（要素）</w:t>
            </w:r>
          </w:p>
        </w:tc>
        <w:tc>
          <w:tcPr>
            <w:tcW w:w="641" w:type="pct"/>
            <w:vMerge w:val="restart"/>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公开依据</w:t>
            </w:r>
          </w:p>
        </w:tc>
        <w:tc>
          <w:tcPr>
            <w:tcW w:w="395" w:type="pct"/>
            <w:vMerge w:val="restart"/>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公开时限</w:t>
            </w:r>
          </w:p>
        </w:tc>
        <w:tc>
          <w:tcPr>
            <w:tcW w:w="408" w:type="pct"/>
            <w:vMerge w:val="restart"/>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公开主体</w:t>
            </w:r>
          </w:p>
        </w:tc>
        <w:tc>
          <w:tcPr>
            <w:tcW w:w="826" w:type="pct"/>
            <w:vMerge w:val="restart"/>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公开渠道和载体</w:t>
            </w:r>
          </w:p>
        </w:tc>
        <w:tc>
          <w:tcPr>
            <w:tcW w:w="392" w:type="pct"/>
            <w:gridSpan w:val="2"/>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公开对象</w:t>
            </w:r>
          </w:p>
        </w:tc>
        <w:tc>
          <w:tcPr>
            <w:tcW w:w="430" w:type="pct"/>
            <w:gridSpan w:val="2"/>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公开方式</w:t>
            </w:r>
          </w:p>
        </w:tc>
        <w:tc>
          <w:tcPr>
            <w:tcW w:w="386" w:type="pct"/>
            <w:gridSpan w:val="2"/>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5" w:hRule="atLeast"/>
        </w:trPr>
        <w:tc>
          <w:tcPr>
            <w:tcW w:w="179" w:type="pct"/>
            <w:vMerge w:val="continue"/>
            <w:shd w:val="clear" w:color="auto" w:fill="auto"/>
            <w:vAlign w:val="center"/>
          </w:tcPr>
          <w:p>
            <w:pPr>
              <w:jc w:val="center"/>
              <w:rPr>
                <w:rFonts w:hint="eastAsia" w:ascii="宋体"/>
                <w:sz w:val="24"/>
                <w:szCs w:val="24"/>
              </w:rPr>
            </w:pPr>
          </w:p>
        </w:tc>
        <w:tc>
          <w:tcPr>
            <w:tcW w:w="329" w:type="pct"/>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一级事项</w:t>
            </w:r>
          </w:p>
        </w:tc>
        <w:tc>
          <w:tcPr>
            <w:tcW w:w="436" w:type="pct"/>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二级事项</w:t>
            </w:r>
          </w:p>
        </w:tc>
        <w:tc>
          <w:tcPr>
            <w:tcW w:w="524" w:type="pct"/>
            <w:vMerge w:val="continue"/>
            <w:shd w:val="clear" w:color="auto" w:fill="auto"/>
            <w:vAlign w:val="center"/>
          </w:tcPr>
          <w:p>
            <w:pPr>
              <w:jc w:val="center"/>
              <w:rPr>
                <w:rFonts w:hint="eastAsia" w:ascii="宋体"/>
                <w:sz w:val="24"/>
                <w:szCs w:val="24"/>
              </w:rPr>
            </w:pPr>
          </w:p>
        </w:tc>
        <w:tc>
          <w:tcPr>
            <w:tcW w:w="641" w:type="pct"/>
            <w:vMerge w:val="continue"/>
            <w:shd w:val="clear" w:color="auto" w:fill="auto"/>
            <w:vAlign w:val="center"/>
          </w:tcPr>
          <w:p>
            <w:pPr>
              <w:jc w:val="center"/>
              <w:rPr>
                <w:rFonts w:hint="eastAsia" w:ascii="宋体"/>
                <w:sz w:val="24"/>
                <w:szCs w:val="24"/>
              </w:rPr>
            </w:pPr>
          </w:p>
        </w:tc>
        <w:tc>
          <w:tcPr>
            <w:tcW w:w="395" w:type="pct"/>
            <w:vMerge w:val="continue"/>
            <w:shd w:val="clear" w:color="auto" w:fill="auto"/>
            <w:vAlign w:val="center"/>
          </w:tcPr>
          <w:p>
            <w:pPr>
              <w:jc w:val="center"/>
              <w:rPr>
                <w:rFonts w:hint="eastAsia" w:ascii="宋体"/>
                <w:sz w:val="24"/>
                <w:szCs w:val="24"/>
              </w:rPr>
            </w:pPr>
          </w:p>
        </w:tc>
        <w:tc>
          <w:tcPr>
            <w:tcW w:w="408" w:type="pct"/>
            <w:vMerge w:val="continue"/>
            <w:shd w:val="clear" w:color="auto" w:fill="auto"/>
            <w:vAlign w:val="center"/>
          </w:tcPr>
          <w:p>
            <w:pPr>
              <w:jc w:val="center"/>
              <w:rPr>
                <w:rFonts w:hint="eastAsia" w:ascii="宋体"/>
                <w:sz w:val="24"/>
                <w:szCs w:val="24"/>
              </w:rPr>
            </w:pPr>
          </w:p>
        </w:tc>
        <w:tc>
          <w:tcPr>
            <w:tcW w:w="826" w:type="pct"/>
            <w:vMerge w:val="continue"/>
            <w:shd w:val="clear" w:color="auto" w:fill="auto"/>
            <w:vAlign w:val="center"/>
          </w:tcPr>
          <w:p>
            <w:pPr>
              <w:jc w:val="center"/>
              <w:rPr>
                <w:rFonts w:hint="eastAsia" w:ascii="宋体"/>
                <w:sz w:val="24"/>
                <w:szCs w:val="24"/>
              </w:rPr>
            </w:pPr>
          </w:p>
        </w:tc>
        <w:tc>
          <w:tcPr>
            <w:tcW w:w="216" w:type="pct"/>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全社会</w:t>
            </w:r>
          </w:p>
        </w:tc>
        <w:tc>
          <w:tcPr>
            <w:tcW w:w="175" w:type="pct"/>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特定群体</w:t>
            </w:r>
          </w:p>
        </w:tc>
        <w:tc>
          <w:tcPr>
            <w:tcW w:w="216" w:type="pct"/>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主动</w:t>
            </w:r>
            <w:r>
              <w:rPr>
                <w:rFonts w:ascii="宋体" w:hAnsi="宋体" w:eastAsia="宋体" w:cs="宋体"/>
                <w:kern w:val="0"/>
                <w:sz w:val="24"/>
                <w:szCs w:val="24"/>
                <w:lang w:val="en-US" w:eastAsia="zh-CN" w:bidi="ar"/>
              </w:rPr>
              <w:br w:type="textWrapping"/>
            </w:r>
            <w:r>
              <w:rPr>
                <w:rStyle w:val="4"/>
                <w:rFonts w:ascii="宋体" w:hAnsi="宋体" w:eastAsia="宋体" w:cs="宋体"/>
                <w:kern w:val="0"/>
                <w:sz w:val="24"/>
                <w:szCs w:val="24"/>
                <w:lang w:val="en-US" w:eastAsia="zh-CN" w:bidi="ar"/>
              </w:rPr>
              <w:t>公开</w:t>
            </w:r>
          </w:p>
        </w:tc>
        <w:tc>
          <w:tcPr>
            <w:tcW w:w="213" w:type="pct"/>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依申请</w:t>
            </w:r>
            <w:r>
              <w:rPr>
                <w:rFonts w:ascii="宋体" w:hAnsi="宋体" w:eastAsia="宋体" w:cs="宋体"/>
                <w:kern w:val="0"/>
                <w:sz w:val="24"/>
                <w:szCs w:val="24"/>
                <w:lang w:val="en-US" w:eastAsia="zh-CN" w:bidi="ar"/>
              </w:rPr>
              <w:br w:type="textWrapping"/>
            </w:r>
            <w:r>
              <w:rPr>
                <w:rStyle w:val="4"/>
                <w:rFonts w:ascii="宋体" w:hAnsi="宋体" w:eastAsia="宋体" w:cs="宋体"/>
                <w:kern w:val="0"/>
                <w:sz w:val="24"/>
                <w:szCs w:val="24"/>
                <w:lang w:val="en-US" w:eastAsia="zh-CN" w:bidi="ar"/>
              </w:rPr>
              <w:t>公开</w:t>
            </w:r>
          </w:p>
        </w:tc>
        <w:tc>
          <w:tcPr>
            <w:tcW w:w="201" w:type="pct"/>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县级</w:t>
            </w:r>
          </w:p>
        </w:tc>
        <w:tc>
          <w:tcPr>
            <w:tcW w:w="185" w:type="pct"/>
            <w:shd w:val="clear" w:color="auto" w:fill="auto"/>
            <w:vAlign w:val="center"/>
          </w:tcPr>
          <w:p>
            <w:pPr>
              <w:keepNext w:val="0"/>
              <w:keepLines w:val="0"/>
              <w:widowControl/>
              <w:suppressLineNumbers w:val="0"/>
              <w:spacing w:before="0" w:beforeAutospacing="0" w:after="0" w:afterAutospacing="0"/>
              <w:ind w:left="0" w:right="0"/>
              <w:jc w:val="center"/>
            </w:pPr>
            <w:r>
              <w:rPr>
                <w:rStyle w:val="4"/>
                <w:rFonts w:ascii="宋体" w:hAnsi="宋体" w:eastAsia="宋体" w:cs="宋体"/>
                <w:kern w:val="0"/>
                <w:sz w:val="24"/>
                <w:szCs w:val="24"/>
                <w:lang w:val="en-US" w:eastAsia="zh-CN" w:bidi="ar"/>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44" w:hRule="atLeast"/>
        </w:trPr>
        <w:tc>
          <w:tcPr>
            <w:tcW w:w="179"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1</w:t>
            </w:r>
          </w:p>
        </w:tc>
        <w:tc>
          <w:tcPr>
            <w:tcW w:w="329" w:type="pct"/>
            <w:vMerge w:val="restar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统计法律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规范</w:t>
            </w:r>
          </w:p>
        </w:tc>
        <w:tc>
          <w:tcPr>
            <w:tcW w:w="43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统计法律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法规规章</w:t>
            </w:r>
          </w:p>
        </w:tc>
        <w:tc>
          <w:tcPr>
            <w:tcW w:w="524"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统计领域相关法律、法规、规章</w:t>
            </w:r>
          </w:p>
        </w:tc>
        <w:tc>
          <w:tcPr>
            <w:tcW w:w="64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《中华人民共和国统计法》《中华人民共和国政府信息公开条例》《中华人民共和国统计法实施条例》</w:t>
            </w:r>
          </w:p>
        </w:tc>
        <w:tc>
          <w:tcPr>
            <w:tcW w:w="39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信息形成或者变更之日起20个工作日内</w:t>
            </w:r>
          </w:p>
        </w:tc>
        <w:tc>
          <w:tcPr>
            <w:tcW w:w="408"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县统计局</w:t>
            </w:r>
          </w:p>
        </w:tc>
        <w:tc>
          <w:tcPr>
            <w:tcW w:w="82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■政府网站  □政府公报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□两微一端  □发布会/听证会   ■广播电视  ■纸质媒体            □公开查阅点■政务服务中心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□便民服务站■入户/现场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□社区/企事业单位/村公示栏（电子屏）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□精准推送   □其他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7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213"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0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8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57" w:hRule="atLeast"/>
        </w:trPr>
        <w:tc>
          <w:tcPr>
            <w:tcW w:w="179"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2</w:t>
            </w:r>
          </w:p>
        </w:tc>
        <w:tc>
          <w:tcPr>
            <w:tcW w:w="329" w:type="pct"/>
            <w:vMerge w:val="continue"/>
            <w:shd w:val="clear" w:color="auto" w:fill="auto"/>
            <w:vAlign w:val="center"/>
          </w:tcPr>
          <w:p>
            <w:pPr>
              <w:rPr>
                <w:rFonts w:hint="eastAsia" w:ascii="宋体"/>
                <w:sz w:val="24"/>
                <w:szCs w:val="24"/>
              </w:rPr>
            </w:pPr>
          </w:p>
        </w:tc>
        <w:tc>
          <w:tcPr>
            <w:tcW w:w="43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规范性文件</w:t>
            </w:r>
          </w:p>
        </w:tc>
        <w:tc>
          <w:tcPr>
            <w:tcW w:w="524"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统计领域相关规范性文件</w:t>
            </w:r>
          </w:p>
        </w:tc>
        <w:tc>
          <w:tcPr>
            <w:tcW w:w="64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《中华人民共和国统计法》《中华人民共和国政府信息公开条例》《中华人民共和国统计法实施条例》</w:t>
            </w:r>
          </w:p>
        </w:tc>
        <w:tc>
          <w:tcPr>
            <w:tcW w:w="39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信息形成或者变更之日起20个工作日内</w:t>
            </w:r>
          </w:p>
        </w:tc>
        <w:tc>
          <w:tcPr>
            <w:tcW w:w="408"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县统计局</w:t>
            </w:r>
          </w:p>
        </w:tc>
        <w:tc>
          <w:tcPr>
            <w:tcW w:w="82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■政府网站   □政府公报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□两微一端  □发布会/听证会   ■广播电视  ■纸质媒体            □公开查阅点 ■政务服务中心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□便民服务站■入户/现场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□社区/企事业单位/村公示栏（电子屏）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□精准推送  □其他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7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213"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0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8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68" w:hRule="atLeast"/>
        </w:trPr>
        <w:tc>
          <w:tcPr>
            <w:tcW w:w="179"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3</w:t>
            </w:r>
          </w:p>
        </w:tc>
        <w:tc>
          <w:tcPr>
            <w:tcW w:w="329" w:type="pct"/>
            <w:vMerge w:val="restar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统计调查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制度</w:t>
            </w:r>
          </w:p>
        </w:tc>
        <w:tc>
          <w:tcPr>
            <w:tcW w:w="43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国家统计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调查制度</w:t>
            </w:r>
          </w:p>
        </w:tc>
        <w:tc>
          <w:tcPr>
            <w:tcW w:w="524"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开展统计调查工作中执行的国家统计调查制度的主要内容</w:t>
            </w:r>
          </w:p>
        </w:tc>
        <w:tc>
          <w:tcPr>
            <w:tcW w:w="64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《中华人民共和国统计法》《中华人民共和国政府信息公开条例》《中华人民共和国统计法实施条例》</w:t>
            </w:r>
          </w:p>
        </w:tc>
        <w:tc>
          <w:tcPr>
            <w:tcW w:w="39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实时更新</w:t>
            </w:r>
          </w:p>
        </w:tc>
        <w:tc>
          <w:tcPr>
            <w:tcW w:w="408"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县统计局</w:t>
            </w:r>
          </w:p>
        </w:tc>
        <w:tc>
          <w:tcPr>
            <w:tcW w:w="82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■政府网站  □政府公报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sym w:font="Wingdings 2" w:char="00A3"/>
            </w:r>
            <w:r>
              <w:rPr>
                <w:rFonts w:ascii="宋体" w:hAnsi="宋体" w:eastAsia="宋体" w:cs="宋体"/>
                <w:kern w:val="0"/>
                <w:sz w:val="24"/>
                <w:szCs w:val="24"/>
                <w:lang w:val="en-US" w:eastAsia="zh-CN" w:bidi="ar"/>
              </w:rPr>
              <w:t xml:space="preserve">两微一端  □发布会/听证会   </w:t>
            </w:r>
            <w:r>
              <w:rPr>
                <w:rFonts w:ascii="宋体" w:hAnsi="宋体" w:eastAsia="宋体" w:cs="宋体"/>
                <w:kern w:val="0"/>
                <w:sz w:val="24"/>
                <w:szCs w:val="24"/>
                <w:lang w:val="en-US" w:eastAsia="zh-CN" w:bidi="ar"/>
              </w:rPr>
              <w:sym w:font="Wingdings 2" w:char="00A3"/>
            </w:r>
            <w:r>
              <w:rPr>
                <w:rFonts w:ascii="宋体" w:hAnsi="宋体" w:eastAsia="宋体" w:cs="宋体"/>
                <w:kern w:val="0"/>
                <w:sz w:val="24"/>
                <w:szCs w:val="24"/>
                <w:lang w:val="en-US" w:eastAsia="zh-CN" w:bidi="ar"/>
              </w:rPr>
              <w:t>广播电视  □纸质媒体           □公开查阅点</w:t>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政务服务中心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便民服务站■入户/现场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bookmarkStart w:id="0" w:name="_GoBack"/>
            <w:bookmarkEnd w:id="0"/>
            <w:r>
              <w:rPr>
                <w:rFonts w:ascii="宋体" w:hAnsi="宋体" w:eastAsia="宋体" w:cs="宋体"/>
                <w:kern w:val="0"/>
                <w:sz w:val="24"/>
                <w:szCs w:val="24"/>
                <w:lang w:val="en-US" w:eastAsia="zh-CN" w:bidi="ar"/>
              </w:rPr>
              <w:t>社区/企事业单位/村公示栏（电子屏）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□精准推送  □其他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7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213"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0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8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44" w:hRule="atLeast"/>
        </w:trPr>
        <w:tc>
          <w:tcPr>
            <w:tcW w:w="179"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4</w:t>
            </w:r>
          </w:p>
        </w:tc>
        <w:tc>
          <w:tcPr>
            <w:tcW w:w="329" w:type="pct"/>
            <w:vMerge w:val="continue"/>
            <w:shd w:val="clear" w:color="auto" w:fill="auto"/>
            <w:vAlign w:val="center"/>
          </w:tcPr>
          <w:p>
            <w:pPr>
              <w:rPr>
                <w:rFonts w:hint="eastAsia" w:ascii="宋体"/>
                <w:sz w:val="24"/>
                <w:szCs w:val="24"/>
              </w:rPr>
            </w:pPr>
          </w:p>
        </w:tc>
        <w:tc>
          <w:tcPr>
            <w:tcW w:w="43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地方统计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调查制度</w:t>
            </w:r>
          </w:p>
        </w:tc>
        <w:tc>
          <w:tcPr>
            <w:tcW w:w="524"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开展统计调查工作中执行的地方统计调查制度的主要内容</w:t>
            </w:r>
          </w:p>
        </w:tc>
        <w:tc>
          <w:tcPr>
            <w:tcW w:w="64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《中华人民共和国统计法》《中华人民共和国政府信息公开条例》《中华人民共和国统计法实施条例》</w:t>
            </w:r>
          </w:p>
        </w:tc>
        <w:tc>
          <w:tcPr>
            <w:tcW w:w="39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实时更新</w:t>
            </w:r>
          </w:p>
        </w:tc>
        <w:tc>
          <w:tcPr>
            <w:tcW w:w="408"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县统计局</w:t>
            </w:r>
          </w:p>
        </w:tc>
        <w:tc>
          <w:tcPr>
            <w:tcW w:w="82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■政府网站  □政府公报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□两微一端   □发布会/听证会   □广播电视   □纸质媒体           □公开查阅点□政务服务中心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□便民服务站■入户/现场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□社区/企事业单位/村公示栏（电子屏）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□精准推送  □其他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7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213"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0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8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01" w:hRule="atLeast"/>
        </w:trPr>
        <w:tc>
          <w:tcPr>
            <w:tcW w:w="179"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5</w:t>
            </w:r>
          </w:p>
        </w:tc>
        <w:tc>
          <w:tcPr>
            <w:tcW w:w="329" w:type="pct"/>
            <w:vMerge w:val="restar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统计数据</w:t>
            </w:r>
          </w:p>
        </w:tc>
        <w:tc>
          <w:tcPr>
            <w:tcW w:w="43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数据发布</w:t>
            </w:r>
          </w:p>
        </w:tc>
        <w:tc>
          <w:tcPr>
            <w:tcW w:w="524"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统计公报，年度、季度、月度主要统计数据，按国家规定对外发布的重大国情国力普查数据和重要统计调查相关数据</w:t>
            </w:r>
          </w:p>
        </w:tc>
        <w:tc>
          <w:tcPr>
            <w:tcW w:w="64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《中华人民共和国统计法》《中华人民共和国政府信息公开条例》《中华人民共和国统计法实施条例》</w:t>
            </w:r>
          </w:p>
        </w:tc>
        <w:tc>
          <w:tcPr>
            <w:tcW w:w="39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适时发布</w:t>
            </w:r>
          </w:p>
        </w:tc>
        <w:tc>
          <w:tcPr>
            <w:tcW w:w="408"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县统计局</w:t>
            </w:r>
          </w:p>
        </w:tc>
        <w:tc>
          <w:tcPr>
            <w:tcW w:w="82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■政府网站  □政府公报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□两微一端   □发布会/听证会   ■广播电视  ■纸质媒体           □公开查阅点□政务服务中心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□便民服务站□入户/现场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□社区/企事业单位/村公示栏（电子屏）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□精准推送    □其他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7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213"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0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8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01" w:hRule="atLeast"/>
        </w:trPr>
        <w:tc>
          <w:tcPr>
            <w:tcW w:w="179"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6</w:t>
            </w:r>
          </w:p>
        </w:tc>
        <w:tc>
          <w:tcPr>
            <w:tcW w:w="329" w:type="pct"/>
            <w:vMerge w:val="continue"/>
            <w:shd w:val="clear" w:color="auto" w:fill="auto"/>
            <w:vAlign w:val="center"/>
          </w:tcPr>
          <w:p>
            <w:pPr>
              <w:rPr>
                <w:rFonts w:hint="eastAsia" w:ascii="宋体"/>
                <w:sz w:val="24"/>
                <w:szCs w:val="24"/>
              </w:rPr>
            </w:pPr>
          </w:p>
        </w:tc>
        <w:tc>
          <w:tcPr>
            <w:tcW w:w="43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数据解读</w:t>
            </w:r>
          </w:p>
        </w:tc>
        <w:tc>
          <w:tcPr>
            <w:tcW w:w="524"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统计数据发布后的配套解读</w:t>
            </w:r>
          </w:p>
        </w:tc>
        <w:tc>
          <w:tcPr>
            <w:tcW w:w="64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《中华人民共和国统计法》《中华人民共和国政府信息公开条例》《中华人民共和国统计法实施条例》</w:t>
            </w:r>
          </w:p>
        </w:tc>
        <w:tc>
          <w:tcPr>
            <w:tcW w:w="39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适时发布</w:t>
            </w:r>
          </w:p>
        </w:tc>
        <w:tc>
          <w:tcPr>
            <w:tcW w:w="408"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县统计局</w:t>
            </w:r>
          </w:p>
        </w:tc>
        <w:tc>
          <w:tcPr>
            <w:tcW w:w="82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■政府网站  □政府公报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□两微一端   □发布会/听证会   ■广播电视  ■纸质媒体           □公开查阅点□政务服务中心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□便民服务站□入户/现场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□社区/企事业单位/村公示栏（电子屏）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□精准推送  □其他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7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213"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0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8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7" w:hRule="atLeast"/>
        </w:trPr>
        <w:tc>
          <w:tcPr>
            <w:tcW w:w="179"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7</w:t>
            </w:r>
          </w:p>
        </w:tc>
        <w:tc>
          <w:tcPr>
            <w:tcW w:w="329" w:type="pct"/>
            <w:vMerge w:val="restar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统计执法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监督</w:t>
            </w:r>
          </w:p>
        </w:tc>
        <w:tc>
          <w:tcPr>
            <w:tcW w:w="43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行政处罚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信息公示</w:t>
            </w:r>
          </w:p>
        </w:tc>
        <w:tc>
          <w:tcPr>
            <w:tcW w:w="524"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作出的行政处罚决定信息（法律、行政法规另有规定的除外）</w:t>
            </w:r>
          </w:p>
        </w:tc>
        <w:tc>
          <w:tcPr>
            <w:tcW w:w="64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中华人民共和国行政处罚法》《中华人民共和国统计法》《中华人民共和国政府信息公开条例》《中华人民共和国统计法实施条例》《统计执法监督检查办法》《国家发展改革委办公厅关于进一步完善行政许可和行政处罚等信用信息公示工作的指导意见》</w:t>
            </w:r>
          </w:p>
        </w:tc>
        <w:tc>
          <w:tcPr>
            <w:tcW w:w="39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适时公开</w:t>
            </w:r>
          </w:p>
        </w:tc>
        <w:tc>
          <w:tcPr>
            <w:tcW w:w="408"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县统计局</w:t>
            </w:r>
          </w:p>
        </w:tc>
        <w:tc>
          <w:tcPr>
            <w:tcW w:w="82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■政府网站  □政府公报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□两微一端  □发布会/听证会   □广播电视  □纸质媒体           □公开查阅点□政务服务中心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□便民服务站□入户/现场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□社区/企事业单位/村公示栏（电子屏）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□精准推送  ■其他（地方信用门户网站或信用中国网站）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7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213"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0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8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81" w:hRule="atLeast"/>
        </w:trPr>
        <w:tc>
          <w:tcPr>
            <w:tcW w:w="179"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8</w:t>
            </w:r>
          </w:p>
        </w:tc>
        <w:tc>
          <w:tcPr>
            <w:tcW w:w="329" w:type="pct"/>
            <w:vMerge w:val="continue"/>
            <w:shd w:val="clear" w:color="auto" w:fill="auto"/>
            <w:vAlign w:val="center"/>
          </w:tcPr>
          <w:p>
            <w:pPr>
              <w:rPr>
                <w:rFonts w:hint="eastAsia" w:ascii="宋体"/>
                <w:sz w:val="24"/>
                <w:szCs w:val="24"/>
              </w:rPr>
            </w:pPr>
          </w:p>
        </w:tc>
        <w:tc>
          <w:tcPr>
            <w:tcW w:w="43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“双随机”抽查</w:t>
            </w:r>
          </w:p>
        </w:tc>
        <w:tc>
          <w:tcPr>
            <w:tcW w:w="524"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统计“双随机”抽查名单和结果</w:t>
            </w:r>
          </w:p>
        </w:tc>
        <w:tc>
          <w:tcPr>
            <w:tcW w:w="64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《中华人民共和国政府信息公开条例》《国务院办公厅关于推广随机抽查规范事中事后监管的通知》《国家统计局统计执法“双随机”抽查办法（试行）》</w:t>
            </w:r>
          </w:p>
        </w:tc>
        <w:tc>
          <w:tcPr>
            <w:tcW w:w="39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适时公开</w:t>
            </w:r>
          </w:p>
        </w:tc>
        <w:tc>
          <w:tcPr>
            <w:tcW w:w="408"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县统计局</w:t>
            </w:r>
          </w:p>
        </w:tc>
        <w:tc>
          <w:tcPr>
            <w:tcW w:w="82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■政府网站  □政府公报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□两微一端  □发布会/听证会   □广播电视  □纸质媒体           □公开查阅点□政务服务中心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□便民服务站□入户/现场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□社区/企事业单位/村公示栏（电子屏）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□精准推送  □其他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7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213"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0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8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81" w:hRule="atLeast"/>
        </w:trPr>
        <w:tc>
          <w:tcPr>
            <w:tcW w:w="179"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9</w:t>
            </w:r>
          </w:p>
        </w:tc>
        <w:tc>
          <w:tcPr>
            <w:tcW w:w="329" w:type="pct"/>
            <w:vMerge w:val="continue"/>
            <w:shd w:val="clear" w:color="auto" w:fill="auto"/>
            <w:vAlign w:val="center"/>
          </w:tcPr>
          <w:p>
            <w:pPr>
              <w:rPr>
                <w:rFonts w:hint="eastAsia" w:ascii="宋体"/>
                <w:sz w:val="24"/>
                <w:szCs w:val="24"/>
              </w:rPr>
            </w:pPr>
          </w:p>
        </w:tc>
        <w:tc>
          <w:tcPr>
            <w:tcW w:w="43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统计严重失信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企业公示</w:t>
            </w:r>
          </w:p>
        </w:tc>
        <w:tc>
          <w:tcPr>
            <w:tcW w:w="524"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统计严重失信企业失信信息</w:t>
            </w:r>
          </w:p>
        </w:tc>
        <w:tc>
          <w:tcPr>
            <w:tcW w:w="64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《国务院办公厅关于进一步完善失信约束制度构建诚信建设长效机制的指导意见》</w:t>
            </w:r>
          </w:p>
        </w:tc>
        <w:tc>
          <w:tcPr>
            <w:tcW w:w="39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适时公开</w:t>
            </w:r>
          </w:p>
        </w:tc>
        <w:tc>
          <w:tcPr>
            <w:tcW w:w="408"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县统计局</w:t>
            </w:r>
          </w:p>
        </w:tc>
        <w:tc>
          <w:tcPr>
            <w:tcW w:w="82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■政府网站  □政府公报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□两微一端  □发布会/听证会   □广播电视  □纸质媒体           □公开查阅点□政务服务中心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□便民服务站□入户/现场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□社区/企事业单位/村公示栏（电子屏）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□精准推送  ■其他（地方信用门户网站或信用中国网站）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7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16"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213"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201"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w:t>
            </w:r>
          </w:p>
        </w:tc>
        <w:tc>
          <w:tcPr>
            <w:tcW w:w="185" w:type="pct"/>
            <w:shd w:val="clear" w:color="auto" w:fill="auto"/>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 </w:t>
            </w:r>
          </w:p>
        </w:tc>
      </w:tr>
    </w:tbl>
    <w:p>
      <w:pPr>
        <w:rPr>
          <w:rFonts w:hint="eastAsia"/>
          <w:lang w:val="en-US" w:eastAsia="zh-CN"/>
        </w:rPr>
      </w:pPr>
    </w:p>
    <w:sectPr>
      <w:pgSz w:w="16838" w:h="11906" w:orient="landscape"/>
      <w:pgMar w:top="1800" w:right="1701" w:bottom="180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kZDFhZGI4NzU4NDgwZjAwNmRiYjUyMzQzYjEyNDgifQ=="/>
  </w:docVars>
  <w:rsids>
    <w:rsidRoot w:val="00000000"/>
    <w:rsid w:val="0A147CB7"/>
    <w:rsid w:val="0EA92FC9"/>
    <w:rsid w:val="134908EA"/>
    <w:rsid w:val="3C750DDD"/>
    <w:rsid w:val="62196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1785</Words>
  <Characters>1787</Characters>
  <Lines>0</Lines>
  <Paragraphs>0</Paragraphs>
  <TotalTime>0</TotalTime>
  <ScaleCrop>false</ScaleCrop>
  <LinksUpToDate>false</LinksUpToDate>
  <CharactersWithSpaces>2063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2022-11-24T02:40:03Z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A0A55881A3B045CE844FC9CB905D6B17</vt:lpwstr>
  </property>
</Properties>
</file>