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_GBK" w:hAnsi="方正小标宋_GBK" w:eastAsia="方正小标宋_GBK" w:cs="方正小标宋_GBK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caps w:val="0"/>
          <w:color w:val="333333"/>
          <w:spacing w:val="0"/>
          <w:sz w:val="44"/>
          <w:szCs w:val="44"/>
          <w:shd w:val="clear" w:fill="FFFFFF"/>
        </w:rPr>
        <w:t>高青县统计局政务公开机构设置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ascii="仿宋_GB2312" w:hAnsi="仿宋_GB2312" w:eastAsia="仿宋_GB2312" w:cs="仿宋_GB2312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【责任科室】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高青县统计局办公室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【主要职责】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负责推进、指导、协调、监督高青县统计局政府信息公开和政务公开工作，承办高青县统计局政府信息主动公开工作，受理向高青县统计局提出的政府信息公开申请。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办公地址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山东省淄博市高青县清河路9号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联系电话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0533-6967188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电子邮箱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instrText xml:space="preserve"> HYPERLINK "mailto:gqxtjj@zb.shandong.cn(此邮箱为政府信息公开工作专用邮箱，不受理政府信息公开以外的投诉、举报、信访等事项）。" </w:instrText>
      </w: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fldChar w:fldCharType="separate"/>
      </w:r>
      <w:r>
        <w:rPr>
          <w:rStyle w:val="6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gqxtjj@zb.shandong.cn(此邮箱为政府信息公开工作专用邮箱，不受理政府信息公开以外的投诉、举报、信访等事项）。</w:t>
      </w: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邮政编码</w:t>
      </w: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256300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Style w:val="5"/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【办公时间】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333333"/>
          <w:spacing w:val="0"/>
          <w:sz w:val="30"/>
          <w:szCs w:val="30"/>
          <w:shd w:val="clear" w:fill="FFFFFF"/>
        </w:rPr>
        <w:t>周一至周五 上午：8:30——12:00；下午：13:30——17:00(工作日)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BA97F5D-CFFE-4AC8-B617-D4AB51316BF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24DAB44-1FF3-4FA5-929F-B9EBC247B7C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DA84BD6-1B9D-4C3D-A85D-C06A8DF801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c4MzM1OGFjMGM4ZThjMzMxYWU2Y2NhYzMyYzAifQ=="/>
  </w:docVars>
  <w:rsids>
    <w:rsidRoot w:val="00000000"/>
    <w:rsid w:val="2F8B61AF"/>
    <w:rsid w:val="58AB78E8"/>
    <w:rsid w:val="745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2024-04-22T02:04:00Z</dcterms:created>
  <dc:creator>Administrator</dc:creator>
  <cp:lastModifiedBy>我</cp:lastModifiedBy>
  <dcterms:modified xsi:type="dcterms:W3CDTF">2024-04-23T01:46:35Z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98CBF9BD15CF4A2E868C442D94F59872_12</vt:lpwstr>
  </property>
</Properties>
</file>