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rFonts w:hint="eastAsia"/>
          <w:b/>
          <w:bCs/>
        </w:rPr>
        <w:t>2023年1-3月全县经济社会发展统计数据</w:t>
      </w:r>
    </w:p>
    <w:bookmarkEnd w:id="0"/>
    <w:tbl>
      <w:tblPr>
        <w:tblW w:w="8323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1354"/>
        <w:gridCol w:w="2229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指标名称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1-本月累计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同比增长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一、工业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规上工业增加值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9.9%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规上工业营业收入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1.8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利润总额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-27.7%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二、投资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固定资产投资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0.6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工业投资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17.5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房地产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-10.8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</w:t>
            </w: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、消费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社会消费品零售总额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17.1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11.2%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 w:firstLine="0"/>
            </w:pPr>
            <w:r>
              <w:rPr>
                <w:rFonts w:hint="default" w:ascii="Calibri" w:hAnsi="Calibri" w:cs="Calibri"/>
                <w:sz w:val="21"/>
                <w:szCs w:val="21"/>
              </w:rPr>
              <w:t>限额以上社会消费品零售额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29.4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四、财税收入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一般公共预算收入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5.8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2.7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税收收入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11.5%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一般公共预算支出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7.2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-0.5%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税收收入（国内税收）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五、金融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本外币存款余额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282.5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10.8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住户存款余额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235.6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14.9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人民币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贷款余额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20.1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MDk3MzYxMzIxMjBmNjE1OWU5MzliYmRkNGQ0ZTIifQ=="/>
  </w:docVars>
  <w:rsids>
    <w:rsidRoot w:val="493E4D89"/>
    <w:rsid w:val="493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2023-08-14T02:02:00Z</dcterms:created>
  <dc:creator>WPS_1672031201</dc:creator>
  <cp:lastModifiedBy>WPS_1672031201</cp:lastModifiedBy>
  <dcterms:modified xsi:type="dcterms:W3CDTF">2023-08-14T02:02:40Z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AA15D610125142398EB3DE70B94053F2_11</vt:lpwstr>
  </property>
</Properties>
</file>