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宋体" w:hAnsi="宋体" w:eastAsia="宋体" w:cs="宋体"/>
          <w:sz w:val="36"/>
          <w:szCs w:val="36"/>
        </w:rPr>
        <w:t>2023年1-</w:t>
      </w:r>
      <w:r>
        <w:rPr>
          <w:rStyle w:val="5"/>
          <w:rFonts w:hint="eastAsia" w:ascii="宋体" w:hAnsi="宋体" w:eastAsia="宋体" w:cs="宋体"/>
          <w:sz w:val="36"/>
          <w:szCs w:val="36"/>
          <w:lang w:val="en-US" w:eastAsia="zh-CN"/>
        </w:rPr>
        <w:t>9</w:t>
      </w:r>
      <w:r>
        <w:rPr>
          <w:rStyle w:val="5"/>
          <w:rFonts w:hint="eastAsia" w:ascii="宋体" w:hAnsi="宋体" w:eastAsia="宋体" w:cs="宋体"/>
          <w:sz w:val="36"/>
          <w:szCs w:val="36"/>
        </w:rPr>
        <w:t>月全县经济社会发展统计数据</w:t>
      </w:r>
    </w:p>
    <w:tbl>
      <w:tblPr>
        <w:tblStyle w:val="3"/>
        <w:tblW w:w="832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5"/>
        <w:gridCol w:w="1354"/>
        <w:gridCol w:w="2229"/>
        <w:gridCol w:w="20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指标名称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2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ascii="Calibri" w:hAnsi="Calibri" w:eastAsia="宋体" w:cs="Calibri"/>
                <w:sz w:val="21"/>
                <w:szCs w:val="21"/>
              </w:rPr>
              <w:t>1-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本月累计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同比增长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一、工业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规上工业增加值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17.9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规上工业营业收入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4.0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利润总额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-</w:t>
            </w: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3.7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二、投资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固定资产投资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-9.4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工业投资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7.9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第三产业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投资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-</w:t>
            </w: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19.9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三、消费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42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限额以上社会消费品零售额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3.8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27.6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四、财税收入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一般公共预算收入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16.1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16.0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税收收入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10.8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10.4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一般公共预算支出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26.7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9.8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税收收入（国内税收）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20.8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2.7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五、金融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本外币存款余额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289.4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7.7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住户存款余额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243.4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1</w:t>
            </w: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3.4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本外币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贷款余额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251.6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19.3</w:t>
            </w:r>
            <w:bookmarkStart w:id="0" w:name="_GoBack"/>
            <w:bookmarkEnd w:id="0"/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default" w:ascii="Calibri" w:hAnsi="Calibri" w:cs="Calibri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Dk3MzYxMzIxMjBmNjE1OWU5MzliYmRkNGQ0ZTIifQ=="/>
  </w:docVars>
  <w:rsids>
    <w:rsidRoot w:val="60B42996"/>
    <w:rsid w:val="027B2ED2"/>
    <w:rsid w:val="191D1DB9"/>
    <w:rsid w:val="404D5896"/>
    <w:rsid w:val="41256CF2"/>
    <w:rsid w:val="4C2555A1"/>
    <w:rsid w:val="60B4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275</Characters>
  <Lines>0</Lines>
  <Paragraphs>0</Paragraphs>
  <TotalTime>23</TotalTime>
  <ScaleCrop>false</ScaleCrop>
  <LinksUpToDate>false</LinksUpToDate>
  <CharactersWithSpaces>303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2023-08-14T02:01:00Z</dcterms:created>
  <dc:creator>WPS_1672031201</dc:creator>
  <cp:lastModifiedBy>WPS_1672031201</cp:lastModifiedBy>
  <dcterms:modified xsi:type="dcterms:W3CDTF">2023-11-16T07:36:06Z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C80AC5D47A954211B7776F4FE33C1576_13</vt:lpwstr>
  </property>
</Properties>
</file>