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E8CD5">
      <w:pPr>
        <w:spacing w:line="560" w:lineRule="exact"/>
        <w:ind w:firstLine="0"/>
        <w:jc w:val="center"/>
        <w:rPr>
          <w:rFonts w:eastAsia="方正小标宋简体"/>
          <w:kern w:val="0"/>
          <w:sz w:val="44"/>
          <w:szCs w:val="44"/>
        </w:rPr>
      </w:pPr>
      <w:r>
        <w:rPr>
          <w:rFonts w:eastAsia="方正小标宋简体"/>
          <w:kern w:val="0"/>
          <w:sz w:val="44"/>
          <w:szCs w:val="44"/>
        </w:rPr>
        <w:t>高青县统计局</w:t>
      </w:r>
    </w:p>
    <w:p w14:paraId="6EF2795B">
      <w:pPr>
        <w:spacing w:line="560" w:lineRule="exact"/>
        <w:ind w:firstLine="0"/>
        <w:jc w:val="center"/>
        <w:rPr>
          <w:rFonts w:eastAsia="方正小标宋简体"/>
          <w:kern w:val="0"/>
          <w:sz w:val="44"/>
          <w:szCs w:val="44"/>
        </w:rPr>
      </w:pPr>
      <w:r>
        <w:rPr>
          <w:rFonts w:eastAsia="方正小标宋简体"/>
          <w:kern w:val="0"/>
          <w:sz w:val="44"/>
          <w:szCs w:val="44"/>
        </w:rPr>
        <w:t>202</w:t>
      </w:r>
      <w:r>
        <w:rPr>
          <w:rFonts w:hint="eastAsia" w:eastAsia="方正小标宋简体"/>
          <w:kern w:val="0"/>
          <w:sz w:val="44"/>
          <w:szCs w:val="44"/>
          <w:lang w:val="en-US" w:eastAsia="zh-CN"/>
        </w:rPr>
        <w:t>5</w:t>
      </w:r>
      <w:r>
        <w:rPr>
          <w:rFonts w:eastAsia="方正小标宋简体"/>
          <w:kern w:val="0"/>
          <w:sz w:val="44"/>
          <w:szCs w:val="44"/>
        </w:rPr>
        <w:t>年政府信息公开工作年度报告</w:t>
      </w:r>
    </w:p>
    <w:p w14:paraId="673FBD08">
      <w:pPr>
        <w:spacing w:line="240" w:lineRule="auto"/>
        <w:ind w:firstLine="0"/>
        <w:rPr>
          <w:rFonts w:eastAsia="黑体"/>
        </w:rPr>
      </w:pPr>
    </w:p>
    <w:p w14:paraId="6CB6F119">
      <w:pPr>
        <w:spacing w:line="560" w:lineRule="exact"/>
        <w:ind w:firstLine="640" w:firstLineChars="200"/>
        <w:rPr>
          <w:rFonts w:eastAsia="仿宋_GB2312"/>
          <w:kern w:val="0"/>
          <w:szCs w:val="20"/>
        </w:rPr>
      </w:pPr>
      <w:r>
        <w:rPr>
          <w:rFonts w:eastAsia="仿宋_GB2312"/>
          <w:kern w:val="0"/>
          <w:szCs w:val="20"/>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14:paraId="2EA78D7B">
      <w:pPr>
        <w:spacing w:line="560" w:lineRule="exact"/>
        <w:ind w:firstLine="640" w:firstLineChars="200"/>
        <w:rPr>
          <w:rFonts w:eastAsia="仿宋_GB2312"/>
          <w:kern w:val="0"/>
          <w:szCs w:val="20"/>
        </w:rPr>
      </w:pPr>
      <w:r>
        <w:rPr>
          <w:rFonts w:eastAsia="仿宋_GB2312"/>
          <w:kern w:val="0"/>
          <w:szCs w:val="20"/>
        </w:rPr>
        <w:t>报告中所列数据统计期限自202</w:t>
      </w:r>
      <w:r>
        <w:rPr>
          <w:rFonts w:hint="eastAsia" w:eastAsia="仿宋_GB2312"/>
          <w:kern w:val="0"/>
          <w:szCs w:val="20"/>
          <w:lang w:val="en-US" w:eastAsia="zh-CN"/>
        </w:rPr>
        <w:t>5</w:t>
      </w:r>
      <w:r>
        <w:rPr>
          <w:rFonts w:eastAsia="仿宋_GB2312"/>
          <w:kern w:val="0"/>
          <w:szCs w:val="20"/>
        </w:rPr>
        <w:t>年1月1日始，至202</w:t>
      </w:r>
      <w:r>
        <w:rPr>
          <w:rFonts w:hint="eastAsia" w:eastAsia="仿宋_GB2312"/>
          <w:kern w:val="0"/>
          <w:szCs w:val="20"/>
          <w:lang w:val="en-US" w:eastAsia="zh-CN"/>
        </w:rPr>
        <w:t>5</w:t>
      </w:r>
      <w:r>
        <w:rPr>
          <w:rFonts w:eastAsia="仿宋_GB2312"/>
          <w:kern w:val="0"/>
          <w:szCs w:val="20"/>
        </w:rPr>
        <w:t>年12月31日止。报告电子版可在高青县人民政府门户网站（www.gaoqing.gov.cn）查阅和下载。如对报告内容有疑问，请与高青县统计局办公室联系（地址：山东省淄博市高青县清河路9号；邮编：256300；电话：0533-6967188；传真：0533-6967188；邮箱：gqxtjj@zb.shandong.cn）。</w:t>
      </w:r>
    </w:p>
    <w:p w14:paraId="6543C5FB">
      <w:pPr>
        <w:spacing w:line="560" w:lineRule="exact"/>
        <w:ind w:firstLine="640" w:firstLineChars="200"/>
        <w:rPr>
          <w:rFonts w:eastAsia="黑体"/>
          <w:kern w:val="0"/>
          <w:szCs w:val="32"/>
        </w:rPr>
      </w:pPr>
      <w:r>
        <w:rPr>
          <w:rFonts w:eastAsia="黑体"/>
          <w:kern w:val="0"/>
          <w:szCs w:val="32"/>
        </w:rPr>
        <w:t>一、总体情况</w:t>
      </w:r>
    </w:p>
    <w:p w14:paraId="7FF8A992">
      <w:pPr>
        <w:spacing w:line="560" w:lineRule="exact"/>
        <w:ind w:firstLine="640" w:firstLineChars="200"/>
        <w:rPr>
          <w:rFonts w:hint="eastAsia" w:eastAsia="仿宋_GB2312"/>
          <w:kern w:val="0"/>
          <w:szCs w:val="20"/>
          <w:lang w:val="en-US" w:eastAsia="zh-CN"/>
        </w:rPr>
      </w:pPr>
      <w:r>
        <w:rPr>
          <w:rFonts w:eastAsia="仿宋_GB2312"/>
          <w:kern w:val="0"/>
          <w:szCs w:val="20"/>
        </w:rPr>
        <w:t>202</w:t>
      </w:r>
      <w:r>
        <w:rPr>
          <w:rFonts w:hint="eastAsia" w:eastAsia="仿宋_GB2312"/>
          <w:kern w:val="0"/>
          <w:szCs w:val="20"/>
          <w:lang w:val="en-US" w:eastAsia="zh-CN"/>
        </w:rPr>
        <w:t>5</w:t>
      </w:r>
      <w:r>
        <w:rPr>
          <w:rFonts w:eastAsia="仿宋_GB2312"/>
          <w:kern w:val="0"/>
          <w:szCs w:val="20"/>
        </w:rPr>
        <w:t>年，高青县统计局坚持以习近平新时代中国特色社会主义思想为指导，认真落实国家和省市县政务公开工作部署，紧紧围绕</w:t>
      </w:r>
      <w:r>
        <w:rPr>
          <w:rFonts w:hint="eastAsia" w:eastAsia="仿宋_GB2312"/>
          <w:kern w:val="0"/>
          <w:szCs w:val="20"/>
          <w:lang w:eastAsia="zh-CN"/>
        </w:rPr>
        <w:t>统计</w:t>
      </w:r>
      <w:r>
        <w:rPr>
          <w:rFonts w:eastAsia="仿宋_GB2312"/>
          <w:kern w:val="0"/>
          <w:szCs w:val="20"/>
        </w:rPr>
        <w:t>部门核心职能和群众关心关注的重点领域，扎实推进政务公开标准化规范化建设</w:t>
      </w:r>
      <w:r>
        <w:rPr>
          <w:rFonts w:hint="eastAsia" w:eastAsia="仿宋_GB2312"/>
          <w:kern w:val="0"/>
          <w:szCs w:val="20"/>
          <w:lang w:eastAsia="zh-CN"/>
        </w:rPr>
        <w:t>，</w:t>
      </w:r>
      <w:r>
        <w:rPr>
          <w:rFonts w:eastAsia="仿宋_GB2312"/>
          <w:kern w:val="0"/>
          <w:szCs w:val="20"/>
        </w:rPr>
        <w:t>不断拓展公开渠道、丰富公开内容、优化公开服务，扎实推进政务公开工作有序开展</w:t>
      </w:r>
      <w:r>
        <w:rPr>
          <w:rFonts w:hint="eastAsia" w:eastAsia="仿宋_GB2312"/>
          <w:kern w:val="0"/>
          <w:szCs w:val="20"/>
          <w:lang w:eastAsia="zh-CN"/>
        </w:rPr>
        <w:t>。</w:t>
      </w:r>
    </w:p>
    <w:p w14:paraId="08D8D445">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（一）主动公开</w:t>
      </w:r>
    </w:p>
    <w:p w14:paraId="27F2BFD0">
      <w:pPr>
        <w:spacing w:line="560" w:lineRule="exact"/>
        <w:ind w:firstLine="640" w:firstLineChars="200"/>
        <w:rPr>
          <w:rFonts w:hint="eastAsia" w:eastAsia="仿宋_GB2312"/>
          <w:kern w:val="0"/>
          <w:szCs w:val="20"/>
          <w:lang w:eastAsia="zh-CN"/>
        </w:rPr>
      </w:pPr>
      <w:r>
        <w:rPr>
          <w:rFonts w:eastAsia="仿宋_GB2312"/>
          <w:kern w:val="0"/>
          <w:szCs w:val="20"/>
        </w:rPr>
        <w:t>健全</w:t>
      </w:r>
      <w:r>
        <w:rPr>
          <w:rFonts w:hint="eastAsia" w:eastAsia="仿宋_GB2312"/>
          <w:kern w:val="0"/>
          <w:szCs w:val="20"/>
          <w:lang w:eastAsia="zh-CN"/>
        </w:rPr>
        <w:t>主动公开</w:t>
      </w:r>
      <w:r>
        <w:rPr>
          <w:rFonts w:eastAsia="仿宋_GB2312"/>
          <w:kern w:val="0"/>
          <w:szCs w:val="20"/>
        </w:rPr>
        <w:t>工作机制</w:t>
      </w:r>
      <w:r>
        <w:rPr>
          <w:rFonts w:hint="eastAsia" w:eastAsia="仿宋_GB2312"/>
          <w:kern w:val="0"/>
          <w:szCs w:val="20"/>
          <w:lang w:eastAsia="zh-CN"/>
        </w:rPr>
        <w:t>，</w:t>
      </w:r>
      <w:r>
        <w:rPr>
          <w:rFonts w:eastAsia="仿宋_GB2312"/>
          <w:kern w:val="0"/>
          <w:szCs w:val="20"/>
        </w:rPr>
        <w:t>进一步完善政务公开工作制度，明确</w:t>
      </w:r>
      <w:r>
        <w:rPr>
          <w:rFonts w:hint="eastAsia" w:eastAsia="仿宋_GB2312"/>
          <w:kern w:val="0"/>
          <w:szCs w:val="20"/>
        </w:rPr>
        <w:t>2025年</w:t>
      </w:r>
      <w:r>
        <w:rPr>
          <w:rFonts w:hint="eastAsia" w:eastAsia="仿宋_GB2312"/>
          <w:kern w:val="0"/>
          <w:szCs w:val="20"/>
          <w:lang w:eastAsia="zh-CN"/>
        </w:rPr>
        <w:t>统计</w:t>
      </w:r>
      <w:r>
        <w:rPr>
          <w:rFonts w:hint="eastAsia" w:eastAsia="仿宋_GB2312"/>
          <w:kern w:val="0"/>
          <w:szCs w:val="20"/>
        </w:rPr>
        <w:t>信息公开的工作目标、公开任务及各科室职责分工</w:t>
      </w:r>
      <w:r>
        <w:rPr>
          <w:rFonts w:hint="eastAsia" w:eastAsia="仿宋_GB2312"/>
          <w:kern w:val="0"/>
          <w:szCs w:val="20"/>
          <w:lang w:eastAsia="zh-CN"/>
        </w:rPr>
        <w:t>。</w:t>
      </w:r>
      <w:r>
        <w:rPr>
          <w:rFonts w:eastAsia="仿宋_GB2312"/>
          <w:kern w:val="0"/>
          <w:szCs w:val="20"/>
        </w:rPr>
        <w:t>公开《高青统计年鉴（202</w:t>
      </w:r>
      <w:r>
        <w:rPr>
          <w:rFonts w:hint="eastAsia" w:eastAsia="仿宋_GB2312"/>
          <w:kern w:val="0"/>
          <w:szCs w:val="20"/>
          <w:lang w:val="en-US" w:eastAsia="zh-CN"/>
        </w:rPr>
        <w:t>4</w:t>
      </w:r>
      <w:r>
        <w:rPr>
          <w:rFonts w:eastAsia="仿宋_GB2312"/>
          <w:kern w:val="0"/>
          <w:szCs w:val="20"/>
        </w:rPr>
        <w:t>年）》</w:t>
      </w:r>
      <w:r>
        <w:rPr>
          <w:rFonts w:hint="eastAsia" w:eastAsia="仿宋_GB2312"/>
          <w:kern w:val="0"/>
          <w:szCs w:val="20"/>
          <w:lang w:eastAsia="zh-CN"/>
        </w:rPr>
        <w:t>、</w:t>
      </w:r>
      <w:r>
        <w:rPr>
          <w:rFonts w:hint="eastAsia" w:eastAsia="仿宋_GB2312"/>
          <w:kern w:val="0"/>
          <w:szCs w:val="20"/>
          <w:lang w:val="en-US" w:eastAsia="zh-CN"/>
        </w:rPr>
        <w:t>统计相关法律法规</w:t>
      </w:r>
      <w:r>
        <w:rPr>
          <w:rFonts w:hint="eastAsia" w:eastAsia="仿宋_GB2312"/>
          <w:kern w:val="0"/>
          <w:szCs w:val="20"/>
          <w:lang w:eastAsia="zh-CN"/>
        </w:rPr>
        <w:t>，</w:t>
      </w:r>
      <w:r>
        <w:rPr>
          <w:rFonts w:eastAsia="仿宋_GB2312"/>
          <w:kern w:val="0"/>
          <w:szCs w:val="20"/>
        </w:rPr>
        <w:t>202</w:t>
      </w:r>
      <w:r>
        <w:rPr>
          <w:rFonts w:hint="eastAsia" w:eastAsia="仿宋_GB2312"/>
          <w:kern w:val="0"/>
          <w:szCs w:val="20"/>
          <w:lang w:val="en-US" w:eastAsia="zh-CN"/>
        </w:rPr>
        <w:t>5</w:t>
      </w:r>
      <w:r>
        <w:rPr>
          <w:rFonts w:eastAsia="仿宋_GB2312"/>
          <w:kern w:val="0"/>
          <w:szCs w:val="20"/>
        </w:rPr>
        <w:t>年累计公开信息</w:t>
      </w:r>
      <w:r>
        <w:rPr>
          <w:rFonts w:hint="eastAsia" w:eastAsia="仿宋_GB2312"/>
          <w:kern w:val="0"/>
          <w:szCs w:val="20"/>
          <w:lang w:val="en-US" w:eastAsia="zh-CN"/>
        </w:rPr>
        <w:t>91</w:t>
      </w:r>
      <w:r>
        <w:rPr>
          <w:rFonts w:eastAsia="仿宋_GB2312"/>
          <w:kern w:val="0"/>
          <w:szCs w:val="20"/>
        </w:rPr>
        <w:t>条，其中统计类信息</w:t>
      </w:r>
      <w:r>
        <w:rPr>
          <w:rFonts w:hint="eastAsia" w:eastAsia="仿宋_GB2312"/>
          <w:kern w:val="0"/>
          <w:szCs w:val="20"/>
          <w:lang w:val="en-US" w:eastAsia="zh-CN"/>
        </w:rPr>
        <w:t>31</w:t>
      </w:r>
      <w:r>
        <w:rPr>
          <w:rFonts w:eastAsia="仿宋_GB2312"/>
          <w:kern w:val="0"/>
          <w:szCs w:val="20"/>
        </w:rPr>
        <w:t>条，</w:t>
      </w:r>
      <w:r>
        <w:rPr>
          <w:rFonts w:hint="eastAsia" w:eastAsia="仿宋_GB2312"/>
          <w:kern w:val="0"/>
          <w:szCs w:val="20"/>
          <w:lang w:eastAsia="zh-CN"/>
        </w:rPr>
        <w:t>约</w:t>
      </w:r>
      <w:r>
        <w:rPr>
          <w:rFonts w:eastAsia="仿宋_GB2312"/>
          <w:kern w:val="0"/>
          <w:szCs w:val="20"/>
        </w:rPr>
        <w:t>占33%。加大政策解读力度，发布</w:t>
      </w:r>
      <w:r>
        <w:rPr>
          <w:rFonts w:hint="eastAsia" w:eastAsia="仿宋_GB2312"/>
          <w:kern w:val="0"/>
          <w:szCs w:val="20"/>
          <w:lang w:eastAsia="zh-CN"/>
        </w:rPr>
        <w:t>统计指标分析解读材料</w:t>
      </w:r>
      <w:r>
        <w:rPr>
          <w:rFonts w:hint="eastAsia" w:eastAsia="仿宋_GB2312"/>
          <w:kern w:val="0"/>
          <w:szCs w:val="20"/>
          <w:lang w:val="en-US" w:eastAsia="zh-CN"/>
        </w:rPr>
        <w:t>10篇、</w:t>
      </w:r>
      <w:r>
        <w:rPr>
          <w:rFonts w:eastAsia="仿宋_GB2312"/>
          <w:kern w:val="0"/>
          <w:szCs w:val="20"/>
        </w:rPr>
        <w:t>图文解读材料</w:t>
      </w:r>
      <w:r>
        <w:rPr>
          <w:rFonts w:hint="eastAsia" w:eastAsia="仿宋_GB2312"/>
          <w:kern w:val="0"/>
          <w:szCs w:val="20"/>
          <w:lang w:val="en-US" w:eastAsia="zh-CN"/>
        </w:rPr>
        <w:t>1</w:t>
      </w:r>
      <w:r>
        <w:rPr>
          <w:rFonts w:eastAsia="仿宋_GB2312"/>
          <w:kern w:val="0"/>
          <w:szCs w:val="20"/>
        </w:rPr>
        <w:t>篇。开展“中国统计开放日”1次，</w:t>
      </w:r>
      <w:r>
        <w:rPr>
          <w:rFonts w:hint="eastAsia" w:eastAsia="仿宋_GB2312"/>
          <w:kern w:val="0"/>
          <w:szCs w:val="20"/>
          <w:lang w:eastAsia="zh-CN"/>
        </w:rPr>
        <w:t>讲解</w:t>
      </w:r>
      <w:r>
        <w:rPr>
          <w:rFonts w:eastAsia="仿宋_GB2312"/>
          <w:kern w:val="0"/>
          <w:szCs w:val="20"/>
        </w:rPr>
        <w:t>新修订统计法，</w:t>
      </w:r>
      <w:r>
        <w:rPr>
          <w:rFonts w:hint="eastAsia" w:eastAsia="仿宋_GB2312"/>
          <w:kern w:val="0"/>
          <w:szCs w:val="20"/>
          <w:lang w:eastAsia="zh-CN"/>
        </w:rPr>
        <w:t>统筹安排</w:t>
      </w:r>
      <w:r>
        <w:rPr>
          <w:rFonts w:eastAsia="仿宋_GB2312"/>
          <w:kern w:val="0"/>
          <w:szCs w:val="20"/>
        </w:rPr>
        <w:t>统计法进党校、社区双报到等</w:t>
      </w:r>
      <w:r>
        <w:rPr>
          <w:rFonts w:hint="eastAsia" w:eastAsia="仿宋_GB2312"/>
          <w:kern w:val="0"/>
          <w:szCs w:val="20"/>
          <w:lang w:eastAsia="zh-CN"/>
        </w:rPr>
        <w:t>宣传教育</w:t>
      </w:r>
      <w:r>
        <w:rPr>
          <w:rFonts w:eastAsia="仿宋_GB2312"/>
          <w:kern w:val="0"/>
          <w:szCs w:val="20"/>
        </w:rPr>
        <w:t>活动</w:t>
      </w:r>
      <w:r>
        <w:rPr>
          <w:rFonts w:hint="eastAsia" w:eastAsia="仿宋_GB2312"/>
          <w:kern w:val="0"/>
          <w:szCs w:val="20"/>
          <w:lang w:eastAsia="zh-CN"/>
        </w:rPr>
        <w:t>。</w:t>
      </w:r>
    </w:p>
    <w:p w14:paraId="5AC83131">
      <w:pPr>
        <w:spacing w:line="240" w:lineRule="auto"/>
        <w:ind w:firstLine="0"/>
        <w:jc w:val="center"/>
        <w:rPr>
          <w:rFonts w:hint="eastAsia" w:eastAsia="仿宋_GB2312"/>
          <w:lang w:val="en-US" w:eastAsia="zh-CN"/>
        </w:rPr>
      </w:pPr>
      <w:r>
        <w:drawing>
          <wp:inline distT="0" distB="0" distL="114300" distR="114300">
            <wp:extent cx="5291455" cy="2743200"/>
            <wp:effectExtent l="4445" t="4445" r="1905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2" w:name="_GoBack"/>
      <w:bookmarkEnd w:id="2"/>
    </w:p>
    <w:p w14:paraId="33D35B5A">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（二）依申请公开</w:t>
      </w:r>
    </w:p>
    <w:p w14:paraId="5E540792">
      <w:pPr>
        <w:spacing w:line="560" w:lineRule="exact"/>
        <w:ind w:firstLine="640" w:firstLineChars="200"/>
        <w:rPr>
          <w:rFonts w:eastAsia="仿宋_GB2312"/>
          <w:kern w:val="0"/>
          <w:szCs w:val="20"/>
        </w:rPr>
      </w:pPr>
      <w:r>
        <w:rPr>
          <w:rFonts w:eastAsia="仿宋_GB2312"/>
          <w:kern w:val="0"/>
          <w:szCs w:val="20"/>
        </w:rPr>
        <w:t>严格规范依申请公开件办理程序，优</w:t>
      </w:r>
      <w:r>
        <w:rPr>
          <w:rFonts w:hint="eastAsia" w:eastAsia="仿宋_GB2312"/>
          <w:kern w:val="0"/>
          <w:szCs w:val="20"/>
        </w:rPr>
        <w:t>化办理流程</w:t>
      </w:r>
      <w:r>
        <w:rPr>
          <w:rFonts w:eastAsia="仿宋_GB2312"/>
          <w:kern w:val="0"/>
          <w:szCs w:val="20"/>
        </w:rPr>
        <w:t>，健全完善信息公开申请办理制度</w:t>
      </w:r>
      <w:r>
        <w:rPr>
          <w:rFonts w:hint="eastAsia" w:eastAsia="仿宋_GB2312"/>
          <w:kern w:val="0"/>
          <w:szCs w:val="20"/>
          <w:lang w:eastAsia="zh-CN"/>
        </w:rPr>
        <w:t>。</w:t>
      </w:r>
      <w:r>
        <w:rPr>
          <w:rFonts w:eastAsia="仿宋_GB2312"/>
          <w:kern w:val="0"/>
          <w:szCs w:val="20"/>
        </w:rPr>
        <w:t>202</w:t>
      </w:r>
      <w:r>
        <w:rPr>
          <w:rFonts w:hint="eastAsia" w:eastAsia="仿宋_GB2312"/>
          <w:kern w:val="0"/>
          <w:szCs w:val="20"/>
          <w:lang w:val="en-US" w:eastAsia="zh-CN"/>
        </w:rPr>
        <w:t>5</w:t>
      </w:r>
      <w:r>
        <w:rPr>
          <w:rFonts w:eastAsia="仿宋_GB2312"/>
          <w:kern w:val="0"/>
          <w:szCs w:val="20"/>
        </w:rPr>
        <w:t>年共收到政府信息公开申请</w:t>
      </w:r>
      <w:r>
        <w:rPr>
          <w:rFonts w:hint="eastAsia" w:eastAsia="仿宋_GB2312"/>
          <w:kern w:val="0"/>
          <w:szCs w:val="20"/>
          <w:lang w:val="en-US" w:eastAsia="zh-CN"/>
        </w:rPr>
        <w:t>5</w:t>
      </w:r>
      <w:r>
        <w:rPr>
          <w:rFonts w:eastAsia="仿宋_GB2312"/>
          <w:kern w:val="0"/>
          <w:szCs w:val="20"/>
        </w:rPr>
        <w:t>件，比上年度增加</w:t>
      </w:r>
      <w:r>
        <w:rPr>
          <w:rFonts w:hint="eastAsia" w:eastAsia="仿宋_GB2312"/>
          <w:kern w:val="0"/>
          <w:szCs w:val="20"/>
          <w:lang w:val="en-US" w:eastAsia="zh-CN"/>
        </w:rPr>
        <w:t>1</w:t>
      </w:r>
      <w:r>
        <w:rPr>
          <w:rFonts w:eastAsia="仿宋_GB2312"/>
          <w:kern w:val="0"/>
          <w:szCs w:val="20"/>
        </w:rPr>
        <w:t>件，申请内容主要涉及统计数据领域。作出政府信息公开申请答复</w:t>
      </w:r>
      <w:r>
        <w:rPr>
          <w:rFonts w:hint="eastAsia" w:eastAsia="仿宋_GB2312"/>
          <w:kern w:val="0"/>
          <w:szCs w:val="20"/>
          <w:lang w:val="en-US" w:eastAsia="zh-CN"/>
        </w:rPr>
        <w:t>5</w:t>
      </w:r>
      <w:r>
        <w:rPr>
          <w:rFonts w:eastAsia="仿宋_GB2312"/>
          <w:kern w:val="0"/>
          <w:szCs w:val="20"/>
        </w:rPr>
        <w:t>件，其中予以公开</w:t>
      </w:r>
      <w:r>
        <w:rPr>
          <w:rFonts w:hint="eastAsia" w:eastAsia="仿宋_GB2312"/>
          <w:kern w:val="0"/>
          <w:szCs w:val="20"/>
          <w:lang w:val="en-US" w:eastAsia="zh-CN"/>
        </w:rPr>
        <w:t>3</w:t>
      </w:r>
      <w:r>
        <w:rPr>
          <w:rFonts w:eastAsia="仿宋_GB2312"/>
          <w:kern w:val="0"/>
          <w:szCs w:val="20"/>
        </w:rPr>
        <w:t>件、</w:t>
      </w:r>
      <w:r>
        <w:rPr>
          <w:rFonts w:hint="eastAsia" w:eastAsia="仿宋_GB2312"/>
          <w:kern w:val="0"/>
          <w:szCs w:val="20"/>
          <w:lang w:val="en-US" w:eastAsia="zh-CN"/>
        </w:rPr>
        <w:t>部分公开1件、</w:t>
      </w:r>
      <w:r>
        <w:rPr>
          <w:rFonts w:eastAsia="仿宋_GB2312"/>
          <w:kern w:val="0"/>
          <w:szCs w:val="20"/>
        </w:rPr>
        <w:t>无法提供1件。未因政府信息公开被申请行政复议、提起行政诉讼。</w:t>
      </w:r>
    </w:p>
    <w:p w14:paraId="7328C2CD">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（三）政府信息管理</w:t>
      </w:r>
    </w:p>
    <w:p w14:paraId="57FC109A">
      <w:pPr>
        <w:spacing w:line="560" w:lineRule="exact"/>
        <w:ind w:firstLine="640" w:firstLineChars="200"/>
        <w:rPr>
          <w:rFonts w:hint="eastAsia" w:eastAsia="仿宋_GB2312"/>
          <w:kern w:val="0"/>
          <w:szCs w:val="20"/>
          <w:lang w:eastAsia="zh-CN"/>
        </w:rPr>
      </w:pPr>
      <w:r>
        <w:rPr>
          <w:rFonts w:hint="eastAsia" w:eastAsia="仿宋_GB2312"/>
          <w:kern w:val="0"/>
          <w:szCs w:val="20"/>
          <w:lang w:eastAsia="zh-CN"/>
        </w:rPr>
        <w:t>加强政府信息审核管理，严格落实“三审三校”制度，定期开展政务公开网站信息自查与互查，确保信息准确、规范公开。严格审查保密信息，严禁公开保密数据，对已公开的统计数据依法依规做好风险排查，防止泄露国家秘密、工作秘密和敏感信息，确保数据安全。</w:t>
      </w:r>
    </w:p>
    <w:p w14:paraId="3F3CB24C">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lang w:eastAsia="zh-CN"/>
        </w:rPr>
        <w:t>（四）</w:t>
      </w:r>
      <w:r>
        <w:rPr>
          <w:rFonts w:hint="eastAsia" w:ascii="楷体_GB2312" w:eastAsia="楷体_GB2312"/>
          <w:kern w:val="0"/>
          <w:szCs w:val="32"/>
        </w:rPr>
        <w:t>政府信息公开平台建设</w:t>
      </w:r>
    </w:p>
    <w:p w14:paraId="7313ABCD">
      <w:pPr>
        <w:spacing w:line="560" w:lineRule="exact"/>
        <w:ind w:firstLine="640" w:firstLineChars="200"/>
        <w:rPr>
          <w:rFonts w:hint="eastAsia" w:eastAsia="仿宋_GB2312"/>
          <w:kern w:val="0"/>
          <w:szCs w:val="20"/>
          <w:lang w:eastAsia="zh-CN"/>
        </w:rPr>
      </w:pPr>
      <w:r>
        <w:rPr>
          <w:rFonts w:hint="eastAsia" w:eastAsia="仿宋_GB2312"/>
          <w:kern w:val="0"/>
          <w:szCs w:val="20"/>
          <w:lang w:eastAsia="zh-CN"/>
        </w:rPr>
        <w:t>充分利用政府网站，建立完善信息发布机制，及时发布统计类信息、政策解读、行政执法结果等，不断拓展</w:t>
      </w:r>
      <w:r>
        <w:rPr>
          <w:rFonts w:hint="eastAsia" w:eastAsia="仿宋_GB2312"/>
          <w:kern w:val="0"/>
          <w:szCs w:val="20"/>
          <w:lang w:val="en-US" w:eastAsia="zh-CN"/>
        </w:rPr>
        <w:t>公开</w:t>
      </w:r>
      <w:r>
        <w:rPr>
          <w:rFonts w:hint="eastAsia" w:eastAsia="仿宋_GB2312"/>
          <w:kern w:val="0"/>
          <w:szCs w:val="20"/>
          <w:lang w:eastAsia="zh-CN"/>
        </w:rPr>
        <w:t>渠道，通过网站留言、邮寄信函等方式开展意见收集，健全政务公开网站信息内容更新的保障机制，提高发布效率。</w:t>
      </w:r>
    </w:p>
    <w:p w14:paraId="265DDCBC">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（五）监督保障</w:t>
      </w:r>
    </w:p>
    <w:p w14:paraId="4FE0D4D9">
      <w:pPr>
        <w:spacing w:line="560" w:lineRule="exact"/>
        <w:ind w:firstLine="640" w:firstLineChars="200"/>
        <w:rPr>
          <w:rFonts w:eastAsia="仿宋_GB2312"/>
          <w:kern w:val="0"/>
          <w:szCs w:val="20"/>
        </w:rPr>
      </w:pPr>
      <w:r>
        <w:rPr>
          <w:rFonts w:eastAsia="仿宋_GB2312"/>
          <w:kern w:val="0"/>
          <w:szCs w:val="20"/>
        </w:rPr>
        <w:t>强化组织领导，</w:t>
      </w:r>
      <w:r>
        <w:rPr>
          <w:rFonts w:hint="eastAsia" w:eastAsia="仿宋_GB2312"/>
          <w:kern w:val="0"/>
          <w:szCs w:val="20"/>
          <w:lang w:eastAsia="zh-CN"/>
        </w:rPr>
        <w:t>落实工作责任。主要</w:t>
      </w:r>
      <w:r>
        <w:rPr>
          <w:rFonts w:eastAsia="仿宋_GB2312"/>
          <w:kern w:val="0"/>
          <w:szCs w:val="20"/>
        </w:rPr>
        <w:t>负责人就政务公开工作作出批示</w:t>
      </w:r>
      <w:r>
        <w:rPr>
          <w:rFonts w:hint="eastAsia" w:eastAsia="仿宋_GB2312"/>
          <w:kern w:val="0"/>
          <w:szCs w:val="20"/>
          <w:lang w:val="en-US" w:eastAsia="zh-CN"/>
        </w:rPr>
        <w:t>1</w:t>
      </w:r>
      <w:r>
        <w:rPr>
          <w:rFonts w:eastAsia="仿宋_GB2312"/>
          <w:kern w:val="0"/>
          <w:szCs w:val="20"/>
        </w:rPr>
        <w:t>次，</w:t>
      </w:r>
      <w:r>
        <w:rPr>
          <w:rFonts w:hint="eastAsia" w:eastAsia="仿宋_GB2312"/>
          <w:kern w:val="0"/>
          <w:szCs w:val="20"/>
          <w:lang w:eastAsia="zh-CN"/>
        </w:rPr>
        <w:t>分管负责人作出批示</w:t>
      </w:r>
      <w:r>
        <w:rPr>
          <w:rFonts w:hint="eastAsia" w:eastAsia="仿宋_GB2312"/>
          <w:kern w:val="0"/>
          <w:szCs w:val="20"/>
          <w:lang w:val="en-US" w:eastAsia="zh-CN"/>
        </w:rPr>
        <w:t>2次。</w:t>
      </w:r>
      <w:r>
        <w:rPr>
          <w:rFonts w:hint="eastAsia" w:eastAsia="仿宋_GB2312"/>
          <w:kern w:val="0"/>
          <w:szCs w:val="20"/>
          <w:lang w:eastAsia="zh-CN"/>
        </w:rPr>
        <w:t>制定《高青县统计局政务公开监督和保障制度》，实行内部监督和外部监督相结合的监督机制</w:t>
      </w:r>
      <w:r>
        <w:rPr>
          <w:rFonts w:eastAsia="仿宋_GB2312"/>
          <w:kern w:val="0"/>
          <w:szCs w:val="20"/>
        </w:rPr>
        <w:t>。</w:t>
      </w:r>
      <w:r>
        <w:rPr>
          <w:rFonts w:hint="eastAsia" w:eastAsia="仿宋_GB2312"/>
          <w:kern w:val="0"/>
          <w:szCs w:val="20"/>
          <w:lang w:eastAsia="zh-CN"/>
        </w:rPr>
        <w:t>为了确保</w:t>
      </w:r>
      <w:r>
        <w:rPr>
          <w:rFonts w:eastAsia="仿宋_GB2312"/>
          <w:kern w:val="0"/>
          <w:szCs w:val="20"/>
        </w:rPr>
        <w:t>政务公开工作</w:t>
      </w:r>
      <w:r>
        <w:rPr>
          <w:rFonts w:hint="eastAsia" w:eastAsia="仿宋_GB2312"/>
          <w:kern w:val="0"/>
          <w:szCs w:val="20"/>
          <w:lang w:eastAsia="zh-CN"/>
        </w:rPr>
        <w:t>顺利开展</w:t>
      </w:r>
      <w:r>
        <w:rPr>
          <w:rFonts w:eastAsia="仿宋_GB2312"/>
          <w:kern w:val="0"/>
          <w:szCs w:val="20"/>
        </w:rPr>
        <w:t>，</w:t>
      </w:r>
      <w:r>
        <w:rPr>
          <w:rFonts w:hint="eastAsia" w:eastAsia="仿宋_GB2312"/>
          <w:kern w:val="0"/>
          <w:szCs w:val="20"/>
          <w:lang w:eastAsia="zh-CN"/>
        </w:rPr>
        <w:t>办公室</w:t>
      </w:r>
      <w:r>
        <w:rPr>
          <w:rFonts w:eastAsia="仿宋_GB2312"/>
          <w:kern w:val="0"/>
          <w:szCs w:val="20"/>
        </w:rPr>
        <w:t>配备1名专职人员。制定</w:t>
      </w:r>
      <w:r>
        <w:rPr>
          <w:rFonts w:hint="eastAsia" w:eastAsia="仿宋_GB2312"/>
          <w:kern w:val="0"/>
          <w:szCs w:val="20"/>
          <w:lang w:val="en-US" w:eastAsia="zh-CN"/>
        </w:rPr>
        <w:t>培训计划、扩大培训范围</w:t>
      </w:r>
      <w:r>
        <w:rPr>
          <w:rFonts w:eastAsia="仿宋_GB2312"/>
          <w:kern w:val="0"/>
          <w:szCs w:val="20"/>
        </w:rPr>
        <w:t>，</w:t>
      </w:r>
      <w:r>
        <w:rPr>
          <w:rFonts w:hint="eastAsia" w:eastAsia="仿宋_GB2312"/>
          <w:kern w:val="0"/>
          <w:szCs w:val="20"/>
          <w:lang w:val="en-US" w:eastAsia="zh-CN"/>
        </w:rPr>
        <w:t>本年单位内部</w:t>
      </w:r>
      <w:r>
        <w:rPr>
          <w:rFonts w:eastAsia="仿宋_GB2312"/>
          <w:kern w:val="0"/>
          <w:szCs w:val="20"/>
        </w:rPr>
        <w:t>组织开展培训</w:t>
      </w:r>
      <w:r>
        <w:rPr>
          <w:rFonts w:hint="eastAsia" w:eastAsia="仿宋_GB2312"/>
          <w:kern w:val="0"/>
          <w:szCs w:val="20"/>
          <w:lang w:val="en-US" w:eastAsia="zh-CN"/>
        </w:rPr>
        <w:t>3</w:t>
      </w:r>
      <w:r>
        <w:rPr>
          <w:rFonts w:eastAsia="仿宋_GB2312"/>
          <w:kern w:val="0"/>
          <w:szCs w:val="20"/>
        </w:rPr>
        <w:t>次。</w:t>
      </w:r>
    </w:p>
    <w:p w14:paraId="48B49D7A">
      <w:pPr>
        <w:spacing w:line="600" w:lineRule="exact"/>
        <w:ind w:firstLine="640" w:firstLineChars="200"/>
        <w:rPr>
          <w:rFonts w:eastAsia="仿宋_GB2312"/>
          <w:color w:val="auto"/>
          <w:szCs w:val="32"/>
        </w:rPr>
      </w:pPr>
    </w:p>
    <w:p w14:paraId="3E730052">
      <w:pPr>
        <w:spacing w:line="600" w:lineRule="exact"/>
        <w:ind w:firstLine="640" w:firstLineChars="200"/>
        <w:rPr>
          <w:rFonts w:eastAsia="仿宋_GB2312"/>
          <w:color w:val="auto"/>
          <w:szCs w:val="32"/>
        </w:rPr>
      </w:pPr>
    </w:p>
    <w:p w14:paraId="00D2B84F">
      <w:pPr>
        <w:spacing w:line="600" w:lineRule="exact"/>
        <w:ind w:firstLine="640" w:firstLineChars="200"/>
        <w:rPr>
          <w:rFonts w:eastAsia="仿宋_GB2312"/>
          <w:color w:val="auto"/>
          <w:szCs w:val="32"/>
        </w:rPr>
      </w:pPr>
    </w:p>
    <w:p w14:paraId="227979C3">
      <w:pPr>
        <w:spacing w:line="600" w:lineRule="exact"/>
        <w:ind w:firstLine="640" w:firstLineChars="200"/>
        <w:rPr>
          <w:rFonts w:eastAsia="仿宋_GB2312"/>
          <w:color w:val="auto"/>
          <w:szCs w:val="32"/>
        </w:rPr>
      </w:pPr>
    </w:p>
    <w:p w14:paraId="78BD4CBF">
      <w:pPr>
        <w:spacing w:line="600" w:lineRule="exact"/>
        <w:ind w:firstLine="640" w:firstLineChars="200"/>
        <w:rPr>
          <w:rFonts w:eastAsia="仿宋_GB2312"/>
          <w:color w:val="auto"/>
          <w:szCs w:val="32"/>
        </w:rPr>
      </w:pPr>
    </w:p>
    <w:p w14:paraId="7ECC30FE">
      <w:pPr>
        <w:spacing w:line="560" w:lineRule="exact"/>
        <w:ind w:firstLine="640" w:firstLineChars="200"/>
        <w:rPr>
          <w:rFonts w:eastAsia="黑体"/>
          <w:kern w:val="0"/>
          <w:szCs w:val="32"/>
        </w:rPr>
      </w:pPr>
      <w:r>
        <w:rPr>
          <w:rFonts w:eastAsia="黑体"/>
          <w:kern w:val="0"/>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293B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E139288">
            <w:pPr>
              <w:spacing w:line="240" w:lineRule="auto"/>
              <w:ind w:firstLine="0"/>
              <w:jc w:val="center"/>
              <w:rPr>
                <w:rFonts w:eastAsia="黑体"/>
                <w:sz w:val="20"/>
              </w:rPr>
            </w:pPr>
            <w:r>
              <w:rPr>
                <w:rFonts w:eastAsia="宋体"/>
                <w:snapToGrid/>
                <w:color w:val="000000"/>
                <w:sz w:val="20"/>
              </w:rPr>
              <w:t>第二十条第（一）项</w:t>
            </w:r>
          </w:p>
        </w:tc>
      </w:tr>
      <w:tr w14:paraId="16CF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1F032A3">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14:paraId="2B40F7FD">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14:paraId="2259DE66">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14:paraId="1A8042B9">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14:paraId="0DBB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893FA4E">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14:paraId="48E06D60">
            <w:pPr>
              <w:spacing w:line="240" w:lineRule="auto"/>
              <w:ind w:firstLine="0"/>
              <w:jc w:val="center"/>
              <w:rPr>
                <w:rFonts w:eastAsia="黑体"/>
                <w:sz w:val="20"/>
              </w:rPr>
            </w:pPr>
            <w:r>
              <w:rPr>
                <w:rFonts w:eastAsia="黑体"/>
                <w:sz w:val="20"/>
              </w:rPr>
              <w:t>0</w:t>
            </w:r>
          </w:p>
        </w:tc>
        <w:tc>
          <w:tcPr>
            <w:tcW w:w="2131" w:type="dxa"/>
            <w:vAlign w:val="center"/>
          </w:tcPr>
          <w:p w14:paraId="6A04223A">
            <w:pPr>
              <w:spacing w:line="240" w:lineRule="auto"/>
              <w:ind w:firstLine="0"/>
              <w:jc w:val="center"/>
              <w:rPr>
                <w:rFonts w:eastAsia="黑体"/>
                <w:sz w:val="20"/>
              </w:rPr>
            </w:pPr>
            <w:r>
              <w:rPr>
                <w:rFonts w:eastAsia="黑体"/>
                <w:sz w:val="20"/>
              </w:rPr>
              <w:t>0</w:t>
            </w:r>
          </w:p>
        </w:tc>
        <w:tc>
          <w:tcPr>
            <w:tcW w:w="2131" w:type="dxa"/>
            <w:vAlign w:val="center"/>
          </w:tcPr>
          <w:p w14:paraId="7399DE9A">
            <w:pPr>
              <w:spacing w:line="240" w:lineRule="auto"/>
              <w:ind w:firstLine="0"/>
              <w:jc w:val="center"/>
              <w:rPr>
                <w:rFonts w:eastAsia="黑体"/>
                <w:sz w:val="20"/>
              </w:rPr>
            </w:pPr>
            <w:r>
              <w:rPr>
                <w:rFonts w:eastAsia="黑体"/>
                <w:sz w:val="20"/>
              </w:rPr>
              <w:t>0</w:t>
            </w:r>
          </w:p>
        </w:tc>
      </w:tr>
      <w:tr w14:paraId="0015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5ED2BE3">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14:paraId="738E6500">
            <w:pPr>
              <w:spacing w:line="240" w:lineRule="auto"/>
              <w:ind w:firstLine="0"/>
              <w:jc w:val="center"/>
              <w:rPr>
                <w:rFonts w:eastAsia="黑体"/>
                <w:sz w:val="20"/>
              </w:rPr>
            </w:pPr>
            <w:r>
              <w:rPr>
                <w:rFonts w:eastAsia="黑体"/>
                <w:sz w:val="20"/>
              </w:rPr>
              <w:t>0</w:t>
            </w:r>
          </w:p>
        </w:tc>
        <w:tc>
          <w:tcPr>
            <w:tcW w:w="2131" w:type="dxa"/>
            <w:vAlign w:val="center"/>
          </w:tcPr>
          <w:p w14:paraId="7AE5F6B2">
            <w:pPr>
              <w:spacing w:line="240" w:lineRule="auto"/>
              <w:ind w:firstLine="0"/>
              <w:jc w:val="center"/>
              <w:rPr>
                <w:rFonts w:eastAsia="黑体"/>
                <w:sz w:val="20"/>
              </w:rPr>
            </w:pPr>
            <w:r>
              <w:rPr>
                <w:rFonts w:eastAsia="黑体"/>
                <w:sz w:val="20"/>
              </w:rPr>
              <w:t>0</w:t>
            </w:r>
          </w:p>
        </w:tc>
        <w:tc>
          <w:tcPr>
            <w:tcW w:w="2131" w:type="dxa"/>
            <w:vAlign w:val="center"/>
          </w:tcPr>
          <w:p w14:paraId="2A3CCBD3">
            <w:pPr>
              <w:spacing w:line="240" w:lineRule="auto"/>
              <w:ind w:firstLine="0"/>
              <w:jc w:val="center"/>
              <w:rPr>
                <w:rFonts w:eastAsia="黑体"/>
                <w:sz w:val="20"/>
              </w:rPr>
            </w:pPr>
            <w:r>
              <w:rPr>
                <w:rFonts w:eastAsia="黑体"/>
                <w:sz w:val="20"/>
              </w:rPr>
              <w:t>0</w:t>
            </w:r>
          </w:p>
        </w:tc>
      </w:tr>
      <w:tr w14:paraId="5453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C4C512A">
            <w:pPr>
              <w:spacing w:line="240" w:lineRule="auto"/>
              <w:ind w:firstLine="0"/>
              <w:jc w:val="center"/>
              <w:rPr>
                <w:rFonts w:eastAsia="宋体"/>
                <w:snapToGrid/>
                <w:color w:val="000000"/>
                <w:sz w:val="20"/>
              </w:rPr>
            </w:pPr>
            <w:r>
              <w:rPr>
                <w:rFonts w:eastAsia="宋体"/>
                <w:snapToGrid/>
                <w:color w:val="000000"/>
                <w:sz w:val="20"/>
              </w:rPr>
              <w:t>第二十条第（五）项</w:t>
            </w:r>
          </w:p>
        </w:tc>
      </w:tr>
      <w:tr w14:paraId="75C3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36ACE5A">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6A0AC4D6">
            <w:pPr>
              <w:spacing w:line="240" w:lineRule="auto"/>
              <w:ind w:firstLine="0"/>
              <w:jc w:val="center"/>
              <w:rPr>
                <w:rFonts w:eastAsia="黑体"/>
                <w:sz w:val="20"/>
              </w:rPr>
            </w:pPr>
            <w:r>
              <w:rPr>
                <w:rFonts w:eastAsia="宋体"/>
                <w:snapToGrid/>
                <w:color w:val="000000"/>
                <w:sz w:val="20"/>
              </w:rPr>
              <w:t>本年处理决定数量</w:t>
            </w:r>
          </w:p>
        </w:tc>
      </w:tr>
      <w:tr w14:paraId="56B0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994619B">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14:paraId="1EF51964">
            <w:pPr>
              <w:spacing w:line="240" w:lineRule="auto"/>
              <w:ind w:firstLine="0"/>
              <w:jc w:val="center"/>
              <w:rPr>
                <w:rFonts w:eastAsia="黑体"/>
                <w:sz w:val="20"/>
              </w:rPr>
            </w:pPr>
            <w:r>
              <w:rPr>
                <w:rFonts w:eastAsia="黑体"/>
                <w:sz w:val="20"/>
              </w:rPr>
              <w:t>0</w:t>
            </w:r>
          </w:p>
        </w:tc>
      </w:tr>
      <w:tr w14:paraId="1C64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9AED189">
            <w:pPr>
              <w:spacing w:line="240" w:lineRule="auto"/>
              <w:ind w:firstLine="0"/>
              <w:jc w:val="center"/>
              <w:rPr>
                <w:rFonts w:eastAsia="宋体"/>
                <w:snapToGrid/>
                <w:color w:val="000000"/>
                <w:sz w:val="20"/>
              </w:rPr>
            </w:pPr>
            <w:r>
              <w:rPr>
                <w:rFonts w:eastAsia="宋体"/>
                <w:snapToGrid/>
                <w:color w:val="000000"/>
                <w:sz w:val="20"/>
              </w:rPr>
              <w:t>第二十条第（六）项</w:t>
            </w:r>
          </w:p>
        </w:tc>
      </w:tr>
      <w:tr w14:paraId="0E5A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CA11679">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7DAFFB97">
            <w:pPr>
              <w:spacing w:line="240" w:lineRule="auto"/>
              <w:ind w:firstLine="0"/>
              <w:jc w:val="center"/>
              <w:rPr>
                <w:rFonts w:eastAsia="黑体"/>
                <w:sz w:val="20"/>
              </w:rPr>
            </w:pPr>
            <w:r>
              <w:rPr>
                <w:rFonts w:eastAsia="宋体"/>
                <w:snapToGrid/>
                <w:color w:val="000000"/>
                <w:sz w:val="20"/>
              </w:rPr>
              <w:t>本年处理决定数量</w:t>
            </w:r>
          </w:p>
        </w:tc>
      </w:tr>
      <w:tr w14:paraId="7EE4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8282BC0">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14:paraId="02D87187">
            <w:pPr>
              <w:spacing w:line="240" w:lineRule="auto"/>
              <w:ind w:firstLine="0"/>
              <w:jc w:val="center"/>
              <w:rPr>
                <w:rFonts w:hint="eastAsia" w:eastAsia="黑体"/>
                <w:sz w:val="20"/>
                <w:lang w:eastAsia="zh-CN"/>
              </w:rPr>
            </w:pPr>
            <w:r>
              <w:rPr>
                <w:rFonts w:hint="eastAsia" w:eastAsia="黑体"/>
                <w:sz w:val="20"/>
                <w:lang w:val="en-US" w:eastAsia="zh-CN"/>
              </w:rPr>
              <w:t>1</w:t>
            </w:r>
          </w:p>
        </w:tc>
      </w:tr>
      <w:tr w14:paraId="18F5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BEB1179">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14:paraId="0BC5B2CB">
            <w:pPr>
              <w:spacing w:line="240" w:lineRule="auto"/>
              <w:ind w:firstLine="0"/>
              <w:jc w:val="center"/>
              <w:rPr>
                <w:rFonts w:eastAsia="黑体"/>
                <w:sz w:val="20"/>
              </w:rPr>
            </w:pPr>
            <w:r>
              <w:rPr>
                <w:rFonts w:eastAsia="黑体"/>
                <w:sz w:val="20"/>
              </w:rPr>
              <w:t>0</w:t>
            </w:r>
          </w:p>
        </w:tc>
      </w:tr>
      <w:tr w14:paraId="017C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D814F61">
            <w:pPr>
              <w:spacing w:line="240" w:lineRule="auto"/>
              <w:ind w:firstLine="0"/>
              <w:jc w:val="center"/>
              <w:rPr>
                <w:rFonts w:eastAsia="宋体"/>
                <w:snapToGrid/>
                <w:color w:val="000000"/>
                <w:sz w:val="20"/>
              </w:rPr>
            </w:pPr>
            <w:r>
              <w:rPr>
                <w:rFonts w:eastAsia="宋体"/>
                <w:snapToGrid/>
                <w:color w:val="000000"/>
                <w:sz w:val="20"/>
              </w:rPr>
              <w:t>第二十条第（八）项</w:t>
            </w:r>
          </w:p>
        </w:tc>
      </w:tr>
      <w:tr w14:paraId="1988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A7DC80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7C9C0B70">
            <w:pPr>
              <w:spacing w:line="240" w:lineRule="auto"/>
              <w:ind w:firstLine="0"/>
              <w:jc w:val="center"/>
              <w:rPr>
                <w:rFonts w:eastAsia="黑体"/>
                <w:sz w:val="20"/>
              </w:rPr>
            </w:pPr>
            <w:r>
              <w:rPr>
                <w:rFonts w:eastAsia="宋体"/>
                <w:snapToGrid/>
                <w:color w:val="000000"/>
                <w:sz w:val="20"/>
              </w:rPr>
              <w:t>本年收费金额（单位：万元）</w:t>
            </w:r>
          </w:p>
        </w:tc>
      </w:tr>
      <w:tr w14:paraId="5760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F330BC0">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14:paraId="180072FB">
            <w:pPr>
              <w:spacing w:line="240" w:lineRule="auto"/>
              <w:ind w:firstLine="0"/>
              <w:jc w:val="center"/>
              <w:rPr>
                <w:rFonts w:eastAsia="黑体"/>
                <w:sz w:val="20"/>
              </w:rPr>
            </w:pPr>
            <w:r>
              <w:rPr>
                <w:rFonts w:eastAsia="黑体"/>
                <w:sz w:val="20"/>
              </w:rPr>
              <w:t>0</w:t>
            </w:r>
          </w:p>
        </w:tc>
      </w:tr>
    </w:tbl>
    <w:p w14:paraId="209C7711">
      <w:pPr>
        <w:spacing w:line="240" w:lineRule="auto"/>
        <w:ind w:firstLine="0"/>
        <w:rPr>
          <w:rFonts w:eastAsia="黑体"/>
          <w:sz w:val="30"/>
          <w:szCs w:val="30"/>
        </w:rPr>
      </w:pPr>
    </w:p>
    <w:p w14:paraId="178487D4">
      <w:pPr>
        <w:spacing w:line="240" w:lineRule="auto"/>
        <w:ind w:firstLine="0"/>
        <w:rPr>
          <w:rFonts w:eastAsia="黑体"/>
          <w:sz w:val="30"/>
          <w:szCs w:val="30"/>
        </w:rPr>
      </w:pPr>
    </w:p>
    <w:p w14:paraId="79EA1692">
      <w:pPr>
        <w:spacing w:line="240" w:lineRule="auto"/>
        <w:ind w:firstLine="0"/>
        <w:rPr>
          <w:rFonts w:eastAsia="黑体"/>
          <w:sz w:val="30"/>
          <w:szCs w:val="30"/>
        </w:rPr>
      </w:pPr>
    </w:p>
    <w:p w14:paraId="34FCFBBD">
      <w:pPr>
        <w:spacing w:line="240" w:lineRule="auto"/>
        <w:ind w:firstLine="0"/>
        <w:rPr>
          <w:rFonts w:eastAsia="黑体"/>
          <w:sz w:val="30"/>
          <w:szCs w:val="30"/>
        </w:rPr>
      </w:pPr>
    </w:p>
    <w:p w14:paraId="0413E1F0">
      <w:pPr>
        <w:spacing w:line="240" w:lineRule="auto"/>
        <w:ind w:firstLine="0"/>
        <w:rPr>
          <w:rFonts w:eastAsia="黑体"/>
          <w:sz w:val="30"/>
          <w:szCs w:val="30"/>
        </w:rPr>
      </w:pPr>
    </w:p>
    <w:p w14:paraId="0B613B62">
      <w:pPr>
        <w:spacing w:line="240" w:lineRule="auto"/>
        <w:ind w:firstLine="0"/>
        <w:rPr>
          <w:rFonts w:eastAsia="黑体"/>
          <w:sz w:val="30"/>
          <w:szCs w:val="30"/>
        </w:rPr>
      </w:pPr>
    </w:p>
    <w:p w14:paraId="41A3A309">
      <w:pPr>
        <w:spacing w:line="240" w:lineRule="auto"/>
        <w:ind w:firstLine="0"/>
        <w:rPr>
          <w:rFonts w:eastAsia="黑体"/>
          <w:sz w:val="30"/>
          <w:szCs w:val="30"/>
        </w:rPr>
      </w:pPr>
    </w:p>
    <w:p w14:paraId="6C6E8229">
      <w:pPr>
        <w:spacing w:line="240" w:lineRule="auto"/>
        <w:ind w:firstLine="0"/>
        <w:rPr>
          <w:rFonts w:eastAsia="黑体"/>
          <w:sz w:val="30"/>
          <w:szCs w:val="30"/>
        </w:rPr>
      </w:pPr>
    </w:p>
    <w:p w14:paraId="28B9D699">
      <w:pPr>
        <w:spacing w:line="240" w:lineRule="auto"/>
        <w:ind w:firstLine="0"/>
        <w:rPr>
          <w:rFonts w:eastAsia="黑体"/>
          <w:sz w:val="30"/>
          <w:szCs w:val="30"/>
        </w:rPr>
      </w:pPr>
    </w:p>
    <w:p w14:paraId="7DB6762D">
      <w:pPr>
        <w:spacing w:line="240" w:lineRule="auto"/>
        <w:ind w:firstLine="0"/>
        <w:rPr>
          <w:rFonts w:eastAsia="黑体"/>
          <w:sz w:val="30"/>
          <w:szCs w:val="30"/>
        </w:rPr>
      </w:pPr>
    </w:p>
    <w:p w14:paraId="1E1C1639">
      <w:pPr>
        <w:spacing w:line="240" w:lineRule="auto"/>
        <w:ind w:firstLine="0"/>
        <w:rPr>
          <w:rFonts w:eastAsia="黑体"/>
          <w:sz w:val="30"/>
          <w:szCs w:val="30"/>
        </w:rPr>
      </w:pPr>
    </w:p>
    <w:p w14:paraId="05B9322D">
      <w:pPr>
        <w:spacing w:line="240" w:lineRule="auto"/>
        <w:ind w:firstLine="0"/>
        <w:rPr>
          <w:rFonts w:eastAsia="黑体"/>
          <w:sz w:val="30"/>
          <w:szCs w:val="30"/>
        </w:rPr>
      </w:pPr>
    </w:p>
    <w:p w14:paraId="7EF87637">
      <w:pPr>
        <w:spacing w:line="560" w:lineRule="exact"/>
        <w:ind w:firstLine="640" w:firstLineChars="200"/>
        <w:rPr>
          <w:rFonts w:eastAsia="黑体"/>
          <w:kern w:val="0"/>
          <w:szCs w:val="32"/>
        </w:rPr>
      </w:pPr>
      <w:r>
        <w:rPr>
          <w:rFonts w:eastAsia="黑体"/>
          <w:kern w:val="0"/>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588CB0AE">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1442EE3">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0C57C25">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14:paraId="549860D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761C81A1">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56E9A46D">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F1BED0E">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3E904F1D">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14:paraId="4769006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3FF9AC77">
            <w:pPr>
              <w:widowControl/>
              <w:autoSpaceDE/>
              <w:autoSpaceDN/>
              <w:snapToGrid/>
              <w:spacing w:line="240" w:lineRule="auto"/>
              <w:ind w:firstLine="0"/>
              <w:jc w:val="left"/>
              <w:rPr>
                <w:rFonts w:eastAsia="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1045105D">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B02E98">
            <w:pPr>
              <w:widowControl/>
              <w:autoSpaceDE/>
              <w:autoSpaceDN/>
              <w:snapToGrid/>
              <w:spacing w:line="240" w:lineRule="auto"/>
              <w:ind w:firstLine="0"/>
              <w:jc w:val="center"/>
              <w:rPr>
                <w:rFonts w:eastAsia="宋体"/>
                <w:snapToGrid/>
                <w:sz w:val="24"/>
                <w:szCs w:val="24"/>
              </w:rPr>
            </w:pPr>
            <w:r>
              <w:rPr>
                <w:rFonts w:eastAsia="宋体"/>
                <w:snapToGrid/>
                <w:sz w:val="20"/>
              </w:rPr>
              <w:t>商业</w:t>
            </w:r>
          </w:p>
          <w:p w14:paraId="1FCC99B7">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680803">
            <w:pPr>
              <w:widowControl/>
              <w:autoSpaceDE/>
              <w:autoSpaceDN/>
              <w:snapToGrid/>
              <w:spacing w:line="240" w:lineRule="auto"/>
              <w:ind w:firstLine="0"/>
              <w:jc w:val="center"/>
              <w:rPr>
                <w:rFonts w:eastAsia="宋体"/>
                <w:snapToGrid/>
                <w:sz w:val="24"/>
                <w:szCs w:val="24"/>
              </w:rPr>
            </w:pPr>
            <w:r>
              <w:rPr>
                <w:rFonts w:eastAsia="宋体"/>
                <w:snapToGrid/>
                <w:sz w:val="20"/>
              </w:rPr>
              <w:t>科研</w:t>
            </w:r>
          </w:p>
          <w:p w14:paraId="288713FA">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1C27376">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54382B1">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0E3ABE">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14782BD7">
            <w:pPr>
              <w:widowControl/>
              <w:autoSpaceDE/>
              <w:autoSpaceDN/>
              <w:snapToGrid/>
              <w:spacing w:line="240" w:lineRule="auto"/>
              <w:ind w:firstLine="0"/>
              <w:jc w:val="left"/>
              <w:rPr>
                <w:rFonts w:eastAsia="宋体"/>
                <w:snapToGrid/>
                <w:sz w:val="24"/>
                <w:szCs w:val="24"/>
              </w:rPr>
            </w:pPr>
          </w:p>
        </w:tc>
      </w:tr>
      <w:tr w14:paraId="2D9E8EB2">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FFA81A0">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46A3E62">
            <w:pPr>
              <w:widowControl/>
              <w:autoSpaceDE/>
              <w:autoSpaceDN/>
              <w:snapToGrid/>
              <w:spacing w:line="240" w:lineRule="auto"/>
              <w:ind w:firstLine="0"/>
              <w:jc w:val="center"/>
              <w:rPr>
                <w:rFonts w:hint="eastAsia" w:eastAsia="宋体"/>
                <w:snapToGrid/>
                <w:sz w:val="20"/>
                <w:lang w:val="en-US" w:eastAsia="zh-CN"/>
              </w:rPr>
            </w:pPr>
            <w:r>
              <w:rPr>
                <w:rFonts w:hint="eastAsia" w:eastAsia="宋体"/>
                <w:snapToGrid/>
                <w:sz w:val="20"/>
                <w:lang w:val="en-US" w:eastAsia="zh-CN"/>
              </w:rPr>
              <w:t>5</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F92B7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40B729">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BDA4F90">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824920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150A24">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B136AD0">
            <w:pPr>
              <w:widowControl/>
              <w:autoSpaceDE/>
              <w:autoSpaceDN/>
              <w:snapToGrid/>
              <w:spacing w:line="240" w:lineRule="auto"/>
              <w:ind w:firstLine="0"/>
              <w:jc w:val="center"/>
              <w:rPr>
                <w:rFonts w:hint="eastAsia" w:eastAsia="宋体"/>
                <w:snapToGrid/>
                <w:sz w:val="20"/>
                <w:lang w:val="en-US" w:eastAsia="zh-CN"/>
              </w:rPr>
            </w:pPr>
            <w:r>
              <w:rPr>
                <w:rFonts w:hint="eastAsia" w:eastAsia="宋体"/>
                <w:snapToGrid/>
                <w:sz w:val="20"/>
                <w:lang w:val="en-US" w:eastAsia="zh-CN"/>
              </w:rPr>
              <w:t>5</w:t>
            </w:r>
          </w:p>
        </w:tc>
      </w:tr>
      <w:tr w14:paraId="3010BC55">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DA0A5D2">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3CDD42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4E45E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CE2A2E">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C6CFB7A">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86CA01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1A387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E5A8661">
            <w:pPr>
              <w:widowControl/>
              <w:autoSpaceDE/>
              <w:autoSpaceDN/>
              <w:snapToGrid/>
              <w:spacing w:line="240" w:lineRule="auto"/>
              <w:ind w:firstLine="0"/>
              <w:jc w:val="center"/>
              <w:rPr>
                <w:rFonts w:eastAsia="宋体"/>
                <w:snapToGrid/>
                <w:sz w:val="20"/>
              </w:rPr>
            </w:pPr>
            <w:r>
              <w:rPr>
                <w:rFonts w:eastAsia="宋体"/>
                <w:snapToGrid/>
                <w:sz w:val="20"/>
              </w:rPr>
              <w:t>0</w:t>
            </w:r>
          </w:p>
        </w:tc>
      </w:tr>
      <w:tr w14:paraId="0E2D0023">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3193FD17">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BD27B7E">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2AC8692">
            <w:pPr>
              <w:widowControl/>
              <w:autoSpaceDE/>
              <w:autoSpaceDN/>
              <w:snapToGrid/>
              <w:spacing w:line="240" w:lineRule="auto"/>
              <w:ind w:firstLine="0"/>
              <w:jc w:val="center"/>
              <w:rPr>
                <w:rFonts w:hint="eastAsia" w:eastAsia="宋体"/>
                <w:snapToGrid/>
                <w:sz w:val="20"/>
                <w:lang w:val="en-US" w:eastAsia="zh-CN"/>
              </w:rPr>
            </w:pPr>
            <w:r>
              <w:rPr>
                <w:rFonts w:hint="eastAsia" w:eastAsia="宋体"/>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6FABF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9CDF1B">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22BF503">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A1A29B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1E2C68">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8BDE689">
            <w:pPr>
              <w:widowControl/>
              <w:autoSpaceDE/>
              <w:autoSpaceDN/>
              <w:snapToGrid/>
              <w:spacing w:line="240" w:lineRule="auto"/>
              <w:ind w:firstLine="0"/>
              <w:jc w:val="center"/>
              <w:rPr>
                <w:rFonts w:hint="eastAsia" w:eastAsia="宋体"/>
                <w:snapToGrid/>
                <w:sz w:val="20"/>
                <w:lang w:val="en-US" w:eastAsia="zh-CN"/>
              </w:rPr>
            </w:pPr>
            <w:r>
              <w:rPr>
                <w:rFonts w:hint="eastAsia" w:eastAsia="宋体"/>
                <w:snapToGrid/>
                <w:sz w:val="20"/>
                <w:lang w:val="en-US" w:eastAsia="zh-CN"/>
              </w:rPr>
              <w:t>3</w:t>
            </w:r>
          </w:p>
        </w:tc>
      </w:tr>
      <w:tr w14:paraId="63E0E582">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402236B0">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380CC34">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55C65FE">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05BC5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7BF3D9">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B9D2DF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5CB15B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393394">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107A4BD">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1</w:t>
            </w:r>
          </w:p>
        </w:tc>
      </w:tr>
      <w:tr w14:paraId="058694F7">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34EA0607">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AF11C18">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E5B1A3F">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C0964B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B47AB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6B44D1">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C6A79E7">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CA2F53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40930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E0FDA14">
            <w:pPr>
              <w:widowControl/>
              <w:autoSpaceDE/>
              <w:autoSpaceDN/>
              <w:snapToGrid/>
              <w:spacing w:line="240" w:lineRule="auto"/>
              <w:ind w:firstLine="0"/>
              <w:jc w:val="center"/>
              <w:rPr>
                <w:rFonts w:eastAsia="宋体"/>
                <w:snapToGrid/>
                <w:sz w:val="20"/>
              </w:rPr>
            </w:pPr>
            <w:r>
              <w:rPr>
                <w:rFonts w:eastAsia="宋体"/>
                <w:snapToGrid/>
                <w:sz w:val="20"/>
              </w:rPr>
              <w:t>0</w:t>
            </w:r>
          </w:p>
        </w:tc>
      </w:tr>
      <w:tr w14:paraId="14F16087">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542B5DD5">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460FBA5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EEE54FE">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39B91D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F8DF7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88044D">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A74E4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A7EBD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5C2BCA">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0AC3384">
            <w:pPr>
              <w:widowControl/>
              <w:autoSpaceDE/>
              <w:autoSpaceDN/>
              <w:snapToGrid/>
              <w:spacing w:line="240" w:lineRule="auto"/>
              <w:ind w:firstLine="0"/>
              <w:jc w:val="center"/>
              <w:rPr>
                <w:rFonts w:eastAsia="宋体"/>
                <w:snapToGrid/>
                <w:sz w:val="20"/>
              </w:rPr>
            </w:pPr>
            <w:r>
              <w:rPr>
                <w:rFonts w:eastAsia="宋体"/>
                <w:snapToGrid/>
                <w:sz w:val="20"/>
              </w:rPr>
              <w:t>0</w:t>
            </w:r>
          </w:p>
        </w:tc>
      </w:tr>
      <w:tr w14:paraId="2722E0EF">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74F60920">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0F6A1E4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2FCEC8B">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FCA1F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6A5F3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32A2CD">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8A3D509">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1F5121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026874">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51D5F0A">
            <w:pPr>
              <w:widowControl/>
              <w:autoSpaceDE/>
              <w:autoSpaceDN/>
              <w:snapToGrid/>
              <w:spacing w:line="240" w:lineRule="auto"/>
              <w:ind w:firstLine="0"/>
              <w:jc w:val="center"/>
              <w:rPr>
                <w:rFonts w:eastAsia="宋体"/>
                <w:snapToGrid/>
                <w:sz w:val="20"/>
              </w:rPr>
            </w:pPr>
            <w:r>
              <w:rPr>
                <w:rFonts w:eastAsia="宋体"/>
                <w:snapToGrid/>
                <w:sz w:val="20"/>
              </w:rPr>
              <w:t>0</w:t>
            </w:r>
          </w:p>
        </w:tc>
      </w:tr>
      <w:tr w14:paraId="02562AD2">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42AFC8CC">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0E9C758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6A5DD0D">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030ACA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41F10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2A6DFB">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56C7C4B">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C66E31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AF38D1">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601FB7F">
            <w:pPr>
              <w:widowControl/>
              <w:autoSpaceDE/>
              <w:autoSpaceDN/>
              <w:snapToGrid/>
              <w:spacing w:line="240" w:lineRule="auto"/>
              <w:ind w:firstLine="0"/>
              <w:jc w:val="center"/>
              <w:rPr>
                <w:rFonts w:eastAsia="宋体"/>
                <w:snapToGrid/>
                <w:sz w:val="20"/>
              </w:rPr>
            </w:pPr>
            <w:r>
              <w:rPr>
                <w:rFonts w:eastAsia="宋体"/>
                <w:snapToGrid/>
                <w:sz w:val="20"/>
              </w:rPr>
              <w:t>0</w:t>
            </w:r>
          </w:p>
        </w:tc>
      </w:tr>
      <w:tr w14:paraId="7C0F68EB">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5393483C">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2232E523">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411FEB7">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61F5A5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B8F7D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8A03CF">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0FFFEE7">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F5DC04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3EE147">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45ADAC0">
            <w:pPr>
              <w:widowControl/>
              <w:autoSpaceDE/>
              <w:autoSpaceDN/>
              <w:snapToGrid/>
              <w:spacing w:line="240" w:lineRule="auto"/>
              <w:ind w:firstLine="0"/>
              <w:jc w:val="center"/>
              <w:rPr>
                <w:rFonts w:eastAsia="宋体"/>
                <w:snapToGrid/>
                <w:sz w:val="20"/>
              </w:rPr>
            </w:pPr>
            <w:r>
              <w:rPr>
                <w:rFonts w:eastAsia="宋体"/>
                <w:snapToGrid/>
                <w:sz w:val="20"/>
              </w:rPr>
              <w:t>0</w:t>
            </w:r>
          </w:p>
        </w:tc>
      </w:tr>
      <w:tr w14:paraId="6F161C34">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04341977">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3A1E8C7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B80FFEF">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B64927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6CC9F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576A8A">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7F2DC0">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1C509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2BE078">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321C5F6">
            <w:pPr>
              <w:widowControl/>
              <w:autoSpaceDE/>
              <w:autoSpaceDN/>
              <w:snapToGrid/>
              <w:spacing w:line="240" w:lineRule="auto"/>
              <w:ind w:firstLine="0"/>
              <w:jc w:val="center"/>
              <w:rPr>
                <w:rFonts w:eastAsia="宋体"/>
                <w:snapToGrid/>
                <w:sz w:val="20"/>
              </w:rPr>
            </w:pPr>
            <w:r>
              <w:rPr>
                <w:rFonts w:eastAsia="宋体"/>
                <w:snapToGrid/>
                <w:sz w:val="20"/>
              </w:rPr>
              <w:t>0</w:t>
            </w:r>
          </w:p>
        </w:tc>
      </w:tr>
      <w:tr w14:paraId="5153DAC8">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7E5BD892">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0D4B458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DFEC836">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01FF23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BC24C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F10D6D">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E24EDB0">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19B9B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0EA6F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B1D584A">
            <w:pPr>
              <w:widowControl/>
              <w:autoSpaceDE/>
              <w:autoSpaceDN/>
              <w:snapToGrid/>
              <w:spacing w:line="240" w:lineRule="auto"/>
              <w:ind w:firstLine="0"/>
              <w:jc w:val="center"/>
              <w:rPr>
                <w:rFonts w:eastAsia="宋体"/>
                <w:snapToGrid/>
                <w:sz w:val="20"/>
              </w:rPr>
            </w:pPr>
            <w:r>
              <w:rPr>
                <w:rFonts w:eastAsia="宋体"/>
                <w:snapToGrid/>
                <w:sz w:val="20"/>
              </w:rPr>
              <w:t>0</w:t>
            </w:r>
          </w:p>
        </w:tc>
      </w:tr>
      <w:tr w14:paraId="369DC0BA">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70701169">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69D35A4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16C3564">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2C37B8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03271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0F3879">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652EFD6">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BAFB24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CE1B3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5488816">
            <w:pPr>
              <w:widowControl/>
              <w:autoSpaceDE/>
              <w:autoSpaceDN/>
              <w:snapToGrid/>
              <w:spacing w:line="240" w:lineRule="auto"/>
              <w:ind w:firstLine="0"/>
              <w:jc w:val="center"/>
              <w:rPr>
                <w:rFonts w:eastAsia="宋体"/>
                <w:snapToGrid/>
                <w:sz w:val="20"/>
              </w:rPr>
            </w:pPr>
            <w:r>
              <w:rPr>
                <w:rFonts w:eastAsia="宋体"/>
                <w:snapToGrid/>
                <w:sz w:val="20"/>
              </w:rPr>
              <w:t>0</w:t>
            </w:r>
          </w:p>
        </w:tc>
      </w:tr>
      <w:tr w14:paraId="6D36F38B">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11CA4145">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12E186B">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D98E8A9">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C944CCF">
            <w:pPr>
              <w:widowControl/>
              <w:autoSpaceDE/>
              <w:autoSpaceDN/>
              <w:snapToGrid/>
              <w:spacing w:line="240" w:lineRule="auto"/>
              <w:ind w:firstLine="0"/>
              <w:jc w:val="center"/>
              <w:rPr>
                <w:rFonts w:eastAsia="宋体"/>
                <w:snapToGrid/>
                <w:sz w:val="20"/>
              </w:rPr>
            </w:pPr>
            <w:r>
              <w:rPr>
                <w:rFonts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3928C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A3E3E7">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25C96DD">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34DCB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CF6E84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26175F8">
            <w:pPr>
              <w:widowControl/>
              <w:autoSpaceDE/>
              <w:autoSpaceDN/>
              <w:snapToGrid/>
              <w:spacing w:line="240" w:lineRule="auto"/>
              <w:ind w:firstLine="0"/>
              <w:jc w:val="center"/>
              <w:rPr>
                <w:rFonts w:eastAsia="宋体"/>
                <w:snapToGrid/>
                <w:sz w:val="20"/>
              </w:rPr>
            </w:pPr>
            <w:r>
              <w:rPr>
                <w:rFonts w:eastAsia="宋体"/>
                <w:snapToGrid/>
                <w:sz w:val="20"/>
              </w:rPr>
              <w:t>1</w:t>
            </w:r>
          </w:p>
        </w:tc>
      </w:tr>
      <w:tr w14:paraId="052DA173">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5FF7FC3D">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3E52D893">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9EDFEE">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7EC981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157CA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B0F91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F7CEC9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9235FD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CE709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7EB4B26">
            <w:pPr>
              <w:widowControl/>
              <w:autoSpaceDE/>
              <w:autoSpaceDN/>
              <w:snapToGrid/>
              <w:spacing w:line="240" w:lineRule="auto"/>
              <w:ind w:firstLine="0"/>
              <w:jc w:val="center"/>
              <w:rPr>
                <w:rFonts w:eastAsia="宋体"/>
                <w:snapToGrid/>
                <w:sz w:val="20"/>
              </w:rPr>
            </w:pPr>
            <w:r>
              <w:rPr>
                <w:rFonts w:eastAsia="宋体"/>
                <w:snapToGrid/>
                <w:sz w:val="20"/>
              </w:rPr>
              <w:t>0</w:t>
            </w:r>
          </w:p>
        </w:tc>
      </w:tr>
      <w:tr w14:paraId="6AB0B5D3">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53864E54">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39E3DFD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F3D82AE">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903482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C7D53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52E1BA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4FEA18F">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934B1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AFE16A">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3B07FD">
            <w:pPr>
              <w:widowControl/>
              <w:autoSpaceDE/>
              <w:autoSpaceDN/>
              <w:snapToGrid/>
              <w:spacing w:line="240" w:lineRule="auto"/>
              <w:ind w:firstLine="0"/>
              <w:jc w:val="center"/>
              <w:rPr>
                <w:rFonts w:eastAsia="宋体"/>
                <w:snapToGrid/>
                <w:sz w:val="20"/>
              </w:rPr>
            </w:pPr>
            <w:r>
              <w:rPr>
                <w:rFonts w:eastAsia="宋体"/>
                <w:snapToGrid/>
                <w:sz w:val="20"/>
              </w:rPr>
              <w:t>0</w:t>
            </w:r>
          </w:p>
        </w:tc>
      </w:tr>
      <w:tr w14:paraId="40643AEC">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74933E3C">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1494C50">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BA423C8">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CD8D31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4FD6E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4D1674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F05EBA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C49398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8DD74D">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C182009">
            <w:pPr>
              <w:widowControl/>
              <w:autoSpaceDE/>
              <w:autoSpaceDN/>
              <w:snapToGrid/>
              <w:spacing w:line="240" w:lineRule="auto"/>
              <w:ind w:firstLine="0"/>
              <w:jc w:val="center"/>
              <w:rPr>
                <w:rFonts w:eastAsia="宋体"/>
                <w:snapToGrid/>
                <w:sz w:val="20"/>
              </w:rPr>
            </w:pPr>
            <w:r>
              <w:rPr>
                <w:rFonts w:eastAsia="宋体"/>
                <w:snapToGrid/>
                <w:sz w:val="20"/>
              </w:rPr>
              <w:t>0</w:t>
            </w:r>
          </w:p>
        </w:tc>
      </w:tr>
      <w:tr w14:paraId="64C0A4C4">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65A5365C">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45764B9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3052C03">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B15203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F7C8D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EC51CC">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A3CFFEE">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02E876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530A4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BCBA631">
            <w:pPr>
              <w:widowControl/>
              <w:autoSpaceDE/>
              <w:autoSpaceDN/>
              <w:snapToGrid/>
              <w:spacing w:line="240" w:lineRule="auto"/>
              <w:ind w:firstLine="0"/>
              <w:jc w:val="center"/>
              <w:rPr>
                <w:rFonts w:eastAsia="宋体"/>
                <w:snapToGrid/>
                <w:sz w:val="20"/>
              </w:rPr>
            </w:pPr>
            <w:r>
              <w:rPr>
                <w:rFonts w:eastAsia="宋体"/>
                <w:snapToGrid/>
                <w:sz w:val="20"/>
              </w:rPr>
              <w:t>0</w:t>
            </w:r>
          </w:p>
        </w:tc>
      </w:tr>
      <w:tr w14:paraId="435F015C">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78D0B872">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3877FB00">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5DE11BB">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5D1737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61429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C0C9F1">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0C12D0D">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D57BD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FAD80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1131C18">
            <w:pPr>
              <w:widowControl/>
              <w:autoSpaceDE/>
              <w:autoSpaceDN/>
              <w:snapToGrid/>
              <w:spacing w:line="240" w:lineRule="auto"/>
              <w:ind w:firstLine="0"/>
              <w:jc w:val="center"/>
              <w:rPr>
                <w:rFonts w:eastAsia="宋体"/>
                <w:snapToGrid/>
                <w:sz w:val="20"/>
              </w:rPr>
            </w:pPr>
            <w:r>
              <w:rPr>
                <w:rFonts w:eastAsia="宋体"/>
                <w:snapToGrid/>
                <w:sz w:val="20"/>
              </w:rPr>
              <w:t>0</w:t>
            </w:r>
          </w:p>
        </w:tc>
      </w:tr>
      <w:tr w14:paraId="1D1194E0">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6450C171">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3F16E97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2CFBE38">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0D34C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EBFD0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9AD064">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400AB19">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AEC891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DD63B7">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7270836">
            <w:pPr>
              <w:widowControl/>
              <w:autoSpaceDE/>
              <w:autoSpaceDN/>
              <w:snapToGrid/>
              <w:spacing w:line="240" w:lineRule="auto"/>
              <w:ind w:firstLine="0"/>
              <w:jc w:val="center"/>
              <w:rPr>
                <w:rFonts w:eastAsia="宋体"/>
                <w:snapToGrid/>
                <w:sz w:val="20"/>
              </w:rPr>
            </w:pPr>
            <w:r>
              <w:rPr>
                <w:rFonts w:eastAsia="宋体"/>
                <w:snapToGrid/>
                <w:sz w:val="20"/>
              </w:rPr>
              <w:t>0</w:t>
            </w:r>
          </w:p>
        </w:tc>
      </w:tr>
      <w:tr w14:paraId="7ADFD726">
        <w:tblPrEx>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inset" w:color="auto" w:sz="8" w:space="0"/>
              <w:right w:val="single" w:color="auto" w:sz="8" w:space="0"/>
            </w:tcBorders>
            <w:vAlign w:val="center"/>
          </w:tcPr>
          <w:p w14:paraId="092091B8">
            <w:pPr>
              <w:widowControl/>
              <w:autoSpaceDE/>
              <w:autoSpaceDN/>
              <w:snapToGrid/>
              <w:spacing w:line="240" w:lineRule="auto"/>
              <w:ind w:firstLine="0"/>
              <w:jc w:val="left"/>
              <w:rPr>
                <w:rFonts w:eastAsia="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7A2657B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12B740C0">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55AFF8A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689280C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0A80553">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0C511530">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2BACB1D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3A2FC78">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2EC4D00B">
            <w:pPr>
              <w:widowControl/>
              <w:autoSpaceDE/>
              <w:autoSpaceDN/>
              <w:snapToGrid/>
              <w:spacing w:line="240" w:lineRule="auto"/>
              <w:ind w:firstLine="0"/>
              <w:jc w:val="center"/>
              <w:rPr>
                <w:rFonts w:eastAsia="宋体"/>
                <w:snapToGrid/>
                <w:sz w:val="20"/>
              </w:rPr>
            </w:pPr>
            <w:r>
              <w:rPr>
                <w:rFonts w:eastAsia="宋体"/>
                <w:snapToGrid/>
                <w:sz w:val="20"/>
              </w:rPr>
              <w:t>0</w:t>
            </w:r>
          </w:p>
        </w:tc>
      </w:tr>
      <w:tr w14:paraId="4A7D4115">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6CC833E7">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70BC7B9D">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4782B97">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420560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ADD54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A70AA3">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BC78B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30360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D07E6E">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D9E19A6">
            <w:pPr>
              <w:widowControl/>
              <w:autoSpaceDE/>
              <w:autoSpaceDN/>
              <w:snapToGrid/>
              <w:spacing w:line="240" w:lineRule="auto"/>
              <w:ind w:firstLine="0"/>
              <w:jc w:val="center"/>
              <w:rPr>
                <w:rFonts w:eastAsia="宋体"/>
                <w:snapToGrid/>
                <w:sz w:val="20"/>
              </w:rPr>
            </w:pPr>
            <w:r>
              <w:rPr>
                <w:rFonts w:eastAsia="宋体"/>
                <w:snapToGrid/>
                <w:sz w:val="20"/>
              </w:rPr>
              <w:t>0</w:t>
            </w:r>
          </w:p>
        </w:tc>
      </w:tr>
      <w:tr w14:paraId="7850D6C5">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00C7E7A8">
            <w:pPr>
              <w:widowControl/>
              <w:autoSpaceDE/>
              <w:autoSpaceDN/>
              <w:snapToGrid/>
              <w:spacing w:line="240" w:lineRule="auto"/>
              <w:ind w:firstLine="0"/>
              <w:jc w:val="left"/>
              <w:rPr>
                <w:rFonts w:eastAsia="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14:paraId="639C941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01154A55">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B26B99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A9D79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27354B">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2DBC2E">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895CB0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CA20F0">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C3663B3">
            <w:pPr>
              <w:widowControl/>
              <w:autoSpaceDE/>
              <w:autoSpaceDN/>
              <w:snapToGrid/>
              <w:spacing w:line="240" w:lineRule="auto"/>
              <w:ind w:firstLine="0"/>
              <w:jc w:val="center"/>
              <w:rPr>
                <w:rFonts w:eastAsia="宋体"/>
                <w:snapToGrid/>
                <w:sz w:val="20"/>
              </w:rPr>
            </w:pPr>
            <w:r>
              <w:rPr>
                <w:rFonts w:eastAsia="宋体"/>
                <w:snapToGrid/>
                <w:sz w:val="20"/>
              </w:rPr>
              <w:t>0</w:t>
            </w:r>
          </w:p>
        </w:tc>
      </w:tr>
      <w:tr w14:paraId="015F2F07">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18BDD820">
            <w:pPr>
              <w:widowControl/>
              <w:autoSpaceDE/>
              <w:autoSpaceDN/>
              <w:snapToGrid/>
              <w:spacing w:line="240" w:lineRule="auto"/>
              <w:ind w:firstLine="0"/>
              <w:jc w:val="left"/>
              <w:rPr>
                <w:rFonts w:eastAsia="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14:paraId="00AA5793">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139538C">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4EB30E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85CE0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F5B47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A6225CC">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282B5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10C556">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2E6BA75">
            <w:pPr>
              <w:widowControl/>
              <w:autoSpaceDE/>
              <w:autoSpaceDN/>
              <w:snapToGrid/>
              <w:spacing w:line="240" w:lineRule="auto"/>
              <w:ind w:firstLine="0"/>
              <w:jc w:val="center"/>
              <w:rPr>
                <w:rFonts w:eastAsia="宋体"/>
                <w:snapToGrid/>
                <w:sz w:val="20"/>
              </w:rPr>
            </w:pPr>
            <w:r>
              <w:rPr>
                <w:rFonts w:eastAsia="宋体"/>
                <w:snapToGrid/>
                <w:sz w:val="20"/>
              </w:rPr>
              <w:t>0</w:t>
            </w:r>
          </w:p>
        </w:tc>
      </w:tr>
      <w:tr w14:paraId="2541DC73">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74057E65">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96B9A9A">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D7F43EA">
            <w:pPr>
              <w:widowControl/>
              <w:autoSpaceDE/>
              <w:autoSpaceDN/>
              <w:snapToGrid/>
              <w:spacing w:line="240" w:lineRule="auto"/>
              <w:ind w:firstLine="0"/>
              <w:jc w:val="center"/>
              <w:rPr>
                <w:rFonts w:hint="eastAsia" w:eastAsia="宋体"/>
                <w:snapToGrid/>
                <w:sz w:val="20"/>
                <w:lang w:val="en-US" w:eastAsia="zh-CN"/>
              </w:rPr>
            </w:pPr>
            <w:r>
              <w:rPr>
                <w:rFonts w:hint="eastAsia" w:eastAsia="宋体"/>
                <w:snapToGrid/>
                <w:sz w:val="20"/>
                <w:lang w:val="en-US" w:eastAsia="zh-CN"/>
              </w:rPr>
              <w:t>5</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8805C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1CDD8B">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D0A7A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F160DC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69D99A">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FD85039">
            <w:pPr>
              <w:widowControl/>
              <w:autoSpaceDE/>
              <w:autoSpaceDN/>
              <w:snapToGrid/>
              <w:spacing w:line="240" w:lineRule="auto"/>
              <w:ind w:firstLine="0"/>
              <w:jc w:val="center"/>
              <w:rPr>
                <w:rFonts w:hint="eastAsia" w:eastAsia="宋体"/>
                <w:snapToGrid/>
                <w:sz w:val="20"/>
                <w:lang w:val="en-US" w:eastAsia="zh-CN"/>
              </w:rPr>
            </w:pPr>
            <w:r>
              <w:rPr>
                <w:rFonts w:hint="eastAsia" w:eastAsia="宋体"/>
                <w:snapToGrid/>
                <w:sz w:val="20"/>
                <w:lang w:val="en-US" w:eastAsia="zh-CN"/>
              </w:rPr>
              <w:t>5</w:t>
            </w:r>
          </w:p>
        </w:tc>
      </w:tr>
      <w:tr w14:paraId="45D9585C">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96558A7">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E9479F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02D20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FC8D74">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5A996CC">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30787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1288C3">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8E34D8B">
            <w:pPr>
              <w:widowControl/>
              <w:autoSpaceDE/>
              <w:autoSpaceDN/>
              <w:snapToGrid/>
              <w:spacing w:line="240" w:lineRule="auto"/>
              <w:ind w:firstLine="0"/>
              <w:jc w:val="center"/>
              <w:rPr>
                <w:rFonts w:eastAsia="宋体"/>
                <w:snapToGrid/>
                <w:sz w:val="20"/>
              </w:rPr>
            </w:pPr>
            <w:r>
              <w:rPr>
                <w:rFonts w:eastAsia="宋体"/>
                <w:snapToGrid/>
                <w:sz w:val="20"/>
              </w:rPr>
              <w:t>0</w:t>
            </w:r>
          </w:p>
        </w:tc>
      </w:tr>
    </w:tbl>
    <w:p w14:paraId="15D3575D">
      <w:pPr>
        <w:spacing w:line="240" w:lineRule="auto"/>
        <w:ind w:firstLine="600" w:firstLineChars="200"/>
        <w:rPr>
          <w:rFonts w:eastAsia="黑体"/>
          <w:sz w:val="30"/>
          <w:szCs w:val="30"/>
        </w:rPr>
      </w:pPr>
    </w:p>
    <w:p w14:paraId="15DE1B23">
      <w:pPr>
        <w:spacing w:line="560" w:lineRule="exact"/>
        <w:ind w:firstLine="640" w:firstLineChars="200"/>
        <w:rPr>
          <w:rFonts w:eastAsia="黑体"/>
          <w:kern w:val="0"/>
          <w:szCs w:val="32"/>
        </w:rPr>
      </w:pPr>
      <w:r>
        <w:rPr>
          <w:rFonts w:eastAsia="黑体"/>
          <w:kern w:val="0"/>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4BD9348">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5D66AA">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D97F5D">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14:paraId="41AB5704">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0F99CF">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DEE98F">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A8C06A">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91098B">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DA53B4">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80D950">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7F446C">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14:paraId="23CE132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2F3821D">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3E2FE1E5">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33D30C8">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EAE3603">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9BA2DC1">
            <w:pPr>
              <w:widowControl/>
              <w:autoSpaceDE/>
              <w:autoSpaceDN/>
              <w:snapToGrid/>
              <w:spacing w:line="240" w:lineRule="auto"/>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60615E">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B82F0A">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96E094">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7D0815">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39FFF4">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00C8AF">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BCD380">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F92AA4">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type="textWrapping"/>
            </w:r>
            <w:r>
              <w:rPr>
                <w:rFonts w:eastAsia="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4BD341">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2F1B39">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14:paraId="25E07615">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F0FA1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66B4D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3E545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FE803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7489F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89D13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25986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4168D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A8720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2F9FC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22B90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86447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D78B5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573C2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563FAE">
            <w:pPr>
              <w:widowControl/>
              <w:autoSpaceDE/>
              <w:autoSpaceDN/>
              <w:snapToGrid/>
              <w:spacing w:line="240" w:lineRule="auto"/>
              <w:ind w:firstLine="0"/>
              <w:jc w:val="center"/>
              <w:rPr>
                <w:rFonts w:eastAsia="宋体"/>
                <w:snapToGrid/>
                <w:sz w:val="24"/>
                <w:szCs w:val="24"/>
              </w:rPr>
            </w:pPr>
            <w:r>
              <w:rPr>
                <w:rFonts w:eastAsia="宋体"/>
                <w:snapToGrid/>
                <w:sz w:val="20"/>
              </w:rPr>
              <w:t>0</w:t>
            </w:r>
          </w:p>
        </w:tc>
      </w:tr>
    </w:tbl>
    <w:p w14:paraId="4946C1C5">
      <w:pPr>
        <w:spacing w:line="560" w:lineRule="exact"/>
        <w:ind w:firstLine="640" w:firstLineChars="200"/>
        <w:rPr>
          <w:rFonts w:eastAsia="黑体"/>
          <w:kern w:val="0"/>
          <w:szCs w:val="32"/>
        </w:rPr>
      </w:pPr>
      <w:r>
        <w:rPr>
          <w:rFonts w:eastAsia="黑体"/>
          <w:kern w:val="0"/>
          <w:szCs w:val="32"/>
        </w:rPr>
        <w:t>五、存在的主要问题及改进情况</w:t>
      </w:r>
    </w:p>
    <w:p w14:paraId="7DAE77A5">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（一）存在问题</w:t>
      </w:r>
    </w:p>
    <w:p w14:paraId="68B772B2">
      <w:pPr>
        <w:spacing w:line="560" w:lineRule="exact"/>
        <w:ind w:firstLine="640" w:firstLineChars="200"/>
        <w:rPr>
          <w:rFonts w:hint="eastAsia" w:eastAsia="仿宋_GB2312"/>
          <w:kern w:val="0"/>
          <w:szCs w:val="20"/>
          <w:lang w:eastAsia="zh-CN"/>
        </w:rPr>
      </w:pPr>
      <w:r>
        <w:rPr>
          <w:rFonts w:eastAsia="仿宋_GB2312"/>
          <w:kern w:val="0"/>
          <w:szCs w:val="20"/>
        </w:rPr>
        <w:t>一是</w:t>
      </w:r>
      <w:r>
        <w:rPr>
          <w:rFonts w:hint="eastAsia" w:eastAsia="仿宋_GB2312"/>
          <w:kern w:val="0"/>
          <w:szCs w:val="20"/>
          <w:lang w:eastAsia="zh-CN"/>
        </w:rPr>
        <w:t>政务公开工作人员的业务能力和知识水平有待进一步提升，缺乏专业、系统的培训和学习。</w:t>
      </w:r>
    </w:p>
    <w:p w14:paraId="18AB90F0">
      <w:pPr>
        <w:spacing w:line="560" w:lineRule="exact"/>
        <w:ind w:firstLine="640" w:firstLineChars="200"/>
        <w:rPr>
          <w:rFonts w:hint="eastAsia" w:eastAsia="仿宋_GB2312"/>
          <w:kern w:val="0"/>
          <w:szCs w:val="20"/>
          <w:lang w:eastAsia="zh-CN"/>
        </w:rPr>
      </w:pPr>
      <w:r>
        <w:rPr>
          <w:rFonts w:eastAsia="仿宋_GB2312"/>
          <w:kern w:val="0"/>
          <w:szCs w:val="20"/>
        </w:rPr>
        <w:t>二是</w:t>
      </w:r>
      <w:r>
        <w:rPr>
          <w:rFonts w:hint="eastAsia" w:eastAsia="仿宋_GB2312"/>
          <w:kern w:val="0"/>
          <w:szCs w:val="20"/>
          <w:lang w:eastAsia="zh-CN"/>
        </w:rPr>
        <w:t>主动公开发布内容不够全面规范，部分统计领域的政策文件、数据分析等信息发布存在滞后现象，与去年相比，总体发布信息数量减少，发布</w:t>
      </w:r>
      <w:r>
        <w:rPr>
          <w:rFonts w:eastAsia="仿宋_GB2312"/>
          <w:kern w:val="0"/>
          <w:szCs w:val="20"/>
        </w:rPr>
        <w:t>形式较为单一</w:t>
      </w:r>
      <w:r>
        <w:rPr>
          <w:rFonts w:hint="eastAsia" w:eastAsia="仿宋_GB2312"/>
          <w:kern w:val="0"/>
          <w:szCs w:val="20"/>
          <w:lang w:eastAsia="zh-CN"/>
        </w:rPr>
        <w:t>，未能及时满足公众需求。</w:t>
      </w:r>
    </w:p>
    <w:p w14:paraId="5456190E">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（二）改进情况</w:t>
      </w:r>
    </w:p>
    <w:p w14:paraId="3C3489A6">
      <w:pPr>
        <w:spacing w:line="560" w:lineRule="exact"/>
        <w:ind w:firstLine="640" w:firstLineChars="200"/>
        <w:rPr>
          <w:rFonts w:hint="eastAsia" w:eastAsia="仿宋_GB2312"/>
          <w:kern w:val="0"/>
          <w:szCs w:val="20"/>
          <w:lang w:eastAsia="zh-CN"/>
        </w:rPr>
      </w:pPr>
      <w:r>
        <w:rPr>
          <w:rFonts w:eastAsia="仿宋_GB2312"/>
          <w:kern w:val="0"/>
          <w:szCs w:val="20"/>
        </w:rPr>
        <w:t>一是安排专人负责，提</w:t>
      </w:r>
      <w:r>
        <w:rPr>
          <w:rFonts w:hint="eastAsia" w:eastAsia="仿宋_GB2312"/>
          <w:kern w:val="0"/>
          <w:szCs w:val="20"/>
          <w:lang w:eastAsia="zh-CN"/>
        </w:rPr>
        <w:t>高</w:t>
      </w:r>
      <w:r>
        <w:rPr>
          <w:rFonts w:eastAsia="仿宋_GB2312"/>
          <w:kern w:val="0"/>
          <w:szCs w:val="20"/>
        </w:rPr>
        <w:t>信息发布的质量与效率</w:t>
      </w:r>
      <w:r>
        <w:rPr>
          <w:rFonts w:hint="eastAsia" w:eastAsia="仿宋_GB2312"/>
          <w:kern w:val="0"/>
          <w:szCs w:val="20"/>
          <w:lang w:eastAsia="zh-CN"/>
        </w:rPr>
        <w:t>；</w:t>
      </w:r>
      <w:r>
        <w:rPr>
          <w:rFonts w:eastAsia="仿宋_GB2312"/>
          <w:kern w:val="0"/>
          <w:szCs w:val="20"/>
        </w:rPr>
        <w:t>加强对政务公开</w:t>
      </w:r>
      <w:r>
        <w:rPr>
          <w:rFonts w:hint="eastAsia" w:eastAsia="仿宋_GB2312"/>
          <w:kern w:val="0"/>
          <w:szCs w:val="20"/>
          <w:lang w:eastAsia="zh-CN"/>
        </w:rPr>
        <w:t>工作</w:t>
      </w:r>
      <w:r>
        <w:rPr>
          <w:rFonts w:eastAsia="仿宋_GB2312"/>
          <w:kern w:val="0"/>
          <w:szCs w:val="20"/>
        </w:rPr>
        <w:t>人员的</w:t>
      </w:r>
      <w:r>
        <w:rPr>
          <w:rFonts w:hint="eastAsia" w:eastAsia="仿宋_GB2312"/>
          <w:kern w:val="0"/>
          <w:szCs w:val="20"/>
          <w:lang w:eastAsia="zh-CN"/>
        </w:rPr>
        <w:t>业务</w:t>
      </w:r>
      <w:r>
        <w:rPr>
          <w:rFonts w:eastAsia="仿宋_GB2312"/>
          <w:kern w:val="0"/>
          <w:szCs w:val="20"/>
        </w:rPr>
        <w:t>培训，定期组织开展业务</w:t>
      </w:r>
      <w:r>
        <w:rPr>
          <w:rFonts w:hint="eastAsia" w:eastAsia="仿宋_GB2312"/>
          <w:kern w:val="0"/>
          <w:szCs w:val="20"/>
          <w:lang w:eastAsia="zh-CN"/>
        </w:rPr>
        <w:t>学习</w:t>
      </w:r>
      <w:r>
        <w:rPr>
          <w:rFonts w:eastAsia="仿宋_GB2312"/>
          <w:kern w:val="0"/>
          <w:szCs w:val="20"/>
        </w:rPr>
        <w:t>活动，提升工作人员的业务水平。建立健全政务公开工作激励机制，充分激发工作人员的积极性。</w:t>
      </w:r>
    </w:p>
    <w:p w14:paraId="0C13861E">
      <w:pPr>
        <w:spacing w:line="560" w:lineRule="exact"/>
        <w:ind w:firstLine="640" w:firstLineChars="200"/>
        <w:rPr>
          <w:rFonts w:hint="eastAsia" w:eastAsia="仿宋_GB2312"/>
          <w:kern w:val="0"/>
          <w:szCs w:val="20"/>
          <w:lang w:eastAsia="zh-CN"/>
        </w:rPr>
      </w:pPr>
      <w:r>
        <w:rPr>
          <w:rFonts w:eastAsia="仿宋_GB2312"/>
          <w:kern w:val="0"/>
          <w:szCs w:val="20"/>
        </w:rPr>
        <w:t>二是</w:t>
      </w:r>
      <w:r>
        <w:rPr>
          <w:rFonts w:hint="eastAsia" w:eastAsia="仿宋_GB2312"/>
          <w:kern w:val="0"/>
          <w:szCs w:val="20"/>
          <w:lang w:eastAsia="zh-CN"/>
        </w:rPr>
        <w:t>完善政策文件公开制度，需要发布的相关政策文件、统计数据分析等信息及时审核发布；完善信息公开工作制度，工作人员严格</w:t>
      </w:r>
      <w:r>
        <w:rPr>
          <w:rFonts w:hint="eastAsia" w:eastAsia="仿宋_GB2312"/>
          <w:kern w:val="0"/>
          <w:szCs w:val="20"/>
          <w:lang w:val="en-US" w:eastAsia="zh-CN"/>
        </w:rPr>
        <w:t>信息发布时限</w:t>
      </w:r>
      <w:r>
        <w:rPr>
          <w:rFonts w:hint="eastAsia" w:eastAsia="仿宋_GB2312"/>
          <w:kern w:val="0"/>
          <w:szCs w:val="20"/>
          <w:lang w:eastAsia="zh-CN"/>
        </w:rPr>
        <w:t>,做到</w:t>
      </w:r>
      <w:r>
        <w:rPr>
          <w:rFonts w:hint="eastAsia" w:eastAsia="仿宋_GB2312"/>
          <w:kern w:val="0"/>
          <w:szCs w:val="20"/>
          <w:lang w:val="en-US" w:eastAsia="zh-CN"/>
        </w:rPr>
        <w:t>信息发布准确、规范、高效</w:t>
      </w:r>
      <w:r>
        <w:rPr>
          <w:rFonts w:hint="eastAsia" w:eastAsia="仿宋_GB2312"/>
          <w:kern w:val="0"/>
          <w:szCs w:val="20"/>
          <w:lang w:eastAsia="zh-CN"/>
        </w:rPr>
        <w:t>，更好地满足群众的需求。</w:t>
      </w:r>
    </w:p>
    <w:p w14:paraId="76D4C789">
      <w:pPr>
        <w:spacing w:line="560" w:lineRule="exact"/>
        <w:ind w:firstLine="640" w:firstLineChars="200"/>
        <w:rPr>
          <w:rFonts w:eastAsia="黑体"/>
          <w:kern w:val="0"/>
          <w:szCs w:val="32"/>
        </w:rPr>
      </w:pPr>
      <w:r>
        <w:rPr>
          <w:rFonts w:eastAsia="黑体"/>
          <w:kern w:val="0"/>
          <w:szCs w:val="32"/>
        </w:rPr>
        <w:t>六、其他需要报告的事项</w:t>
      </w:r>
    </w:p>
    <w:p w14:paraId="22EB32E7">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（一）政府信息公开信息处理费收取情况</w:t>
      </w:r>
    </w:p>
    <w:p w14:paraId="6F8869BE">
      <w:pPr>
        <w:spacing w:line="560" w:lineRule="exact"/>
        <w:ind w:firstLine="640" w:firstLineChars="200"/>
        <w:rPr>
          <w:rFonts w:eastAsia="仿宋_GB2312"/>
          <w:szCs w:val="32"/>
        </w:rPr>
      </w:pPr>
      <w:bookmarkStart w:id="0" w:name="OLE_LINK5"/>
      <w:bookmarkStart w:id="1" w:name="OLE_LINK4"/>
      <w:r>
        <w:rPr>
          <w:rFonts w:eastAsia="仿宋_GB2312"/>
          <w:kern w:val="0"/>
          <w:szCs w:val="20"/>
        </w:rPr>
        <w:t>根据《国务院办公厅关于印发&lt;政府信息公开信息处理费管理办法&gt;的通知》（国办函〔2020〕109号）和《山东省人民政府办公厅关于做好政府信息公开信息处理费管理工作有关事项的通知》（鲁政办字〔2020〕179号）规定，202</w:t>
      </w:r>
      <w:r>
        <w:rPr>
          <w:rFonts w:hint="eastAsia" w:eastAsia="仿宋_GB2312"/>
          <w:kern w:val="0"/>
          <w:szCs w:val="20"/>
          <w:lang w:val="en-US" w:eastAsia="zh-CN"/>
        </w:rPr>
        <w:t>5</w:t>
      </w:r>
      <w:r>
        <w:rPr>
          <w:rFonts w:eastAsia="仿宋_GB2312"/>
          <w:kern w:val="0"/>
          <w:szCs w:val="20"/>
        </w:rPr>
        <w:t>年本机关在办理政府信息公开申请过程中未收取信息处理费。</w:t>
      </w:r>
    </w:p>
    <w:bookmarkEnd w:id="0"/>
    <w:bookmarkEnd w:id="1"/>
    <w:p w14:paraId="198B149D">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（二）落实上级年度政务公开工作要点情况</w:t>
      </w:r>
    </w:p>
    <w:p w14:paraId="212425B9">
      <w:pPr>
        <w:spacing w:line="560" w:lineRule="exact"/>
        <w:ind w:firstLine="640" w:firstLineChars="200"/>
        <w:rPr>
          <w:rFonts w:hint="eastAsia" w:eastAsia="仿宋_GB2312"/>
          <w:kern w:val="0"/>
          <w:szCs w:val="20"/>
          <w:lang w:eastAsia="zh-CN"/>
        </w:rPr>
      </w:pPr>
      <w:r>
        <w:rPr>
          <w:rFonts w:hint="eastAsia" w:eastAsia="仿宋_GB2312"/>
          <w:kern w:val="0"/>
          <w:szCs w:val="20"/>
        </w:rPr>
        <w:t>严格落实国家和省市县政务公开工作要点，并根据《高青县人民政府办公室关于印发202</w:t>
      </w:r>
      <w:r>
        <w:rPr>
          <w:rFonts w:hint="eastAsia" w:eastAsia="仿宋_GB2312"/>
          <w:kern w:val="0"/>
          <w:szCs w:val="20"/>
          <w:lang w:val="en-US" w:eastAsia="zh-CN"/>
        </w:rPr>
        <w:t>5</w:t>
      </w:r>
      <w:r>
        <w:rPr>
          <w:rFonts w:hint="eastAsia" w:eastAsia="仿宋_GB2312"/>
          <w:kern w:val="0"/>
          <w:szCs w:val="20"/>
        </w:rPr>
        <w:t>年高青县政务公开工作方案的通知》要求，制定了《高青县</w:t>
      </w:r>
      <w:r>
        <w:rPr>
          <w:rFonts w:hint="eastAsia" w:eastAsia="仿宋_GB2312"/>
          <w:kern w:val="0"/>
          <w:szCs w:val="20"/>
          <w:lang w:eastAsia="zh-CN"/>
        </w:rPr>
        <w:t>统计</w:t>
      </w:r>
      <w:r>
        <w:rPr>
          <w:rFonts w:hint="eastAsia" w:eastAsia="仿宋_GB2312"/>
          <w:kern w:val="0"/>
          <w:szCs w:val="20"/>
        </w:rPr>
        <w:t>局</w:t>
      </w:r>
      <w:r>
        <w:rPr>
          <w:rFonts w:hint="eastAsia" w:eastAsia="仿宋_GB2312"/>
          <w:kern w:val="0"/>
          <w:szCs w:val="20"/>
          <w:lang w:val="en-US" w:eastAsia="zh-CN"/>
        </w:rPr>
        <w:t>2025年</w:t>
      </w:r>
      <w:r>
        <w:rPr>
          <w:rFonts w:hint="eastAsia" w:eastAsia="仿宋_GB2312"/>
          <w:kern w:val="0"/>
          <w:szCs w:val="20"/>
        </w:rPr>
        <w:t>政务公开工作</w:t>
      </w:r>
      <w:r>
        <w:rPr>
          <w:rFonts w:hint="eastAsia" w:eastAsia="仿宋_GB2312"/>
          <w:kern w:val="0"/>
          <w:szCs w:val="20"/>
          <w:lang w:eastAsia="zh-CN"/>
        </w:rPr>
        <w:t>实施</w:t>
      </w:r>
      <w:r>
        <w:rPr>
          <w:rFonts w:hint="eastAsia" w:eastAsia="仿宋_GB2312"/>
          <w:kern w:val="0"/>
          <w:szCs w:val="20"/>
        </w:rPr>
        <w:t>方案》，明确了重点任务、工作标准和完成时限。一是深化重点领域信息公开。对新出台的统计领域政策文件，严格落实同步解读要求。优化统计信息公开服务，持续加强对经济数据指标的实时监测与深度分析，进一步优化统计数据发布机制。</w:t>
      </w:r>
      <w:r>
        <w:rPr>
          <w:rFonts w:hint="eastAsia" w:eastAsia="仿宋_GB2312"/>
          <w:kern w:val="0"/>
          <w:szCs w:val="20"/>
          <w:lang w:eastAsia="zh-CN"/>
        </w:rPr>
        <w:t>二是推进政务公开标准化规范化建设。完善</w:t>
      </w:r>
      <w:r>
        <w:rPr>
          <w:rFonts w:hint="eastAsia" w:eastAsia="仿宋_GB2312"/>
          <w:kern w:val="0"/>
          <w:szCs w:val="20"/>
          <w:lang w:val="en-US" w:eastAsia="zh-CN"/>
        </w:rPr>
        <w:t>主动公开基本</w:t>
      </w:r>
      <w:r>
        <w:rPr>
          <w:rFonts w:hint="eastAsia" w:eastAsia="仿宋_GB2312"/>
          <w:kern w:val="0"/>
          <w:szCs w:val="20"/>
          <w:lang w:eastAsia="zh-CN"/>
        </w:rPr>
        <w:t>目录，结合我局职能职责和工作实际，对现有</w:t>
      </w:r>
      <w:r>
        <w:rPr>
          <w:rFonts w:hint="eastAsia" w:eastAsia="仿宋_GB2312"/>
          <w:kern w:val="0"/>
          <w:szCs w:val="20"/>
          <w:lang w:val="en-US" w:eastAsia="zh-CN"/>
        </w:rPr>
        <w:t>栏目</w:t>
      </w:r>
      <w:r>
        <w:rPr>
          <w:rFonts w:hint="eastAsia" w:eastAsia="仿宋_GB2312"/>
          <w:kern w:val="0"/>
          <w:szCs w:val="20"/>
          <w:lang w:eastAsia="zh-CN"/>
        </w:rPr>
        <w:t>进行全面梳理和优化。三是加强政策解读与回应关切。创新政策解读方式方法，在传统文字解读的基础上，积极探索多种形式开展政策解读。</w:t>
      </w:r>
    </w:p>
    <w:p w14:paraId="5CF9FC6C">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（三）人大代表建议和政协委员提案办理结果公开情况</w:t>
      </w:r>
    </w:p>
    <w:p w14:paraId="70930CA2">
      <w:pPr>
        <w:spacing w:line="560" w:lineRule="exact"/>
        <w:ind w:firstLine="640" w:firstLineChars="200"/>
        <w:rPr>
          <w:rFonts w:eastAsia="仿宋_GB2312"/>
          <w:kern w:val="0"/>
          <w:szCs w:val="20"/>
        </w:rPr>
      </w:pPr>
      <w:r>
        <w:rPr>
          <w:rFonts w:hint="eastAsia" w:eastAsia="仿宋_GB2312"/>
          <w:kern w:val="0"/>
          <w:szCs w:val="20"/>
        </w:rPr>
        <w:t>202</w:t>
      </w:r>
      <w:r>
        <w:rPr>
          <w:rFonts w:hint="eastAsia" w:eastAsia="仿宋_GB2312"/>
          <w:kern w:val="0"/>
          <w:szCs w:val="20"/>
          <w:lang w:val="en-US" w:eastAsia="zh-CN"/>
        </w:rPr>
        <w:t>5</w:t>
      </w:r>
      <w:r>
        <w:rPr>
          <w:rFonts w:hint="eastAsia" w:eastAsia="仿宋_GB2312"/>
          <w:kern w:val="0"/>
          <w:szCs w:val="20"/>
        </w:rPr>
        <w:t>年未承办县十八届人大</w:t>
      </w:r>
      <w:r>
        <w:rPr>
          <w:rFonts w:hint="eastAsia" w:eastAsia="仿宋_GB2312"/>
          <w:kern w:val="0"/>
          <w:szCs w:val="20"/>
          <w:lang w:val="en-US" w:eastAsia="zh-CN"/>
        </w:rPr>
        <w:t>四</w:t>
      </w:r>
      <w:r>
        <w:rPr>
          <w:rFonts w:hint="eastAsia" w:eastAsia="仿宋_GB2312"/>
          <w:kern w:val="0"/>
          <w:szCs w:val="20"/>
        </w:rPr>
        <w:t>次会议建议、县政协十五届</w:t>
      </w:r>
      <w:r>
        <w:rPr>
          <w:rFonts w:hint="eastAsia" w:eastAsia="仿宋_GB2312"/>
          <w:kern w:val="0"/>
          <w:szCs w:val="20"/>
          <w:lang w:val="en-US" w:eastAsia="zh-CN"/>
        </w:rPr>
        <w:t>四</w:t>
      </w:r>
      <w:r>
        <w:rPr>
          <w:rFonts w:hint="eastAsia" w:eastAsia="仿宋_GB2312"/>
          <w:kern w:val="0"/>
          <w:szCs w:val="20"/>
        </w:rPr>
        <w:t>次会议提案。</w:t>
      </w:r>
    </w:p>
    <w:p w14:paraId="63D173A0">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（四）政务公开工作创新情况</w:t>
      </w:r>
    </w:p>
    <w:p w14:paraId="640F2711">
      <w:pPr>
        <w:spacing w:line="560" w:lineRule="exact"/>
        <w:ind w:firstLine="640" w:firstLineChars="200"/>
        <w:jc w:val="left"/>
        <w:rPr>
          <w:rFonts w:hint="eastAsia" w:eastAsia="仿宋_GB2312"/>
          <w:kern w:val="0"/>
          <w:szCs w:val="20"/>
          <w:lang w:eastAsia="zh-CN"/>
        </w:rPr>
      </w:pPr>
      <w:r>
        <w:rPr>
          <w:rFonts w:hint="eastAsia" w:eastAsia="仿宋_GB2312"/>
          <w:kern w:val="0"/>
          <w:szCs w:val="20"/>
          <w:lang w:eastAsia="zh-CN"/>
        </w:rPr>
        <w:t>讲解</w:t>
      </w:r>
      <w:r>
        <w:rPr>
          <w:rFonts w:eastAsia="仿宋_GB2312"/>
          <w:kern w:val="0"/>
          <w:szCs w:val="20"/>
        </w:rPr>
        <w:t>新修订统计法，</w:t>
      </w:r>
      <w:r>
        <w:rPr>
          <w:rFonts w:hint="eastAsia" w:eastAsia="仿宋_GB2312"/>
          <w:kern w:val="0"/>
          <w:szCs w:val="20"/>
          <w:lang w:eastAsia="zh-CN"/>
        </w:rPr>
        <w:t>统筹安排</w:t>
      </w:r>
      <w:r>
        <w:rPr>
          <w:rFonts w:eastAsia="仿宋_GB2312"/>
          <w:kern w:val="0"/>
          <w:szCs w:val="20"/>
        </w:rPr>
        <w:t>统计法进党校、社区双报到活动</w:t>
      </w:r>
      <w:r>
        <w:rPr>
          <w:rFonts w:hint="eastAsia" w:eastAsia="仿宋_GB2312"/>
          <w:kern w:val="0"/>
          <w:szCs w:val="20"/>
          <w:lang w:eastAsia="zh-CN"/>
        </w:rPr>
        <w:t>，积极探索创新</w:t>
      </w:r>
      <w:r>
        <w:rPr>
          <w:rFonts w:hint="eastAsia" w:eastAsia="仿宋_GB2312"/>
          <w:kern w:val="0"/>
          <w:szCs w:val="20"/>
          <w:lang w:val="en-US" w:eastAsia="zh-CN"/>
        </w:rPr>
        <w:t>公开</w:t>
      </w:r>
      <w:r>
        <w:rPr>
          <w:rFonts w:hint="eastAsia" w:eastAsia="仿宋_GB2312"/>
          <w:kern w:val="0"/>
          <w:szCs w:val="20"/>
          <w:lang w:eastAsia="zh-CN"/>
        </w:rPr>
        <w:t>路径。通过开展政务公开工作培训，进一步强化了工作人员主动公开的自觉性和专业性，进一步提高了公开工作的质量和效率。</w:t>
      </w:r>
    </w:p>
    <w:p w14:paraId="36CC7553">
      <w:pPr>
        <w:spacing w:line="560" w:lineRule="exact"/>
        <w:ind w:firstLine="640" w:firstLineChars="200"/>
        <w:rPr>
          <w:rFonts w:hint="eastAsia" w:ascii="楷体_GB2312" w:eastAsia="楷体_GB2312"/>
          <w:kern w:val="0"/>
          <w:szCs w:val="32"/>
        </w:rPr>
      </w:pPr>
      <w:r>
        <w:rPr>
          <w:rFonts w:hint="eastAsia" w:ascii="楷体_GB2312" w:eastAsia="楷体_GB2312"/>
          <w:kern w:val="0"/>
          <w:szCs w:val="32"/>
        </w:rPr>
        <w:t>（五）有关数据统计说明</w:t>
      </w:r>
    </w:p>
    <w:p w14:paraId="4E64E529">
      <w:pPr>
        <w:spacing w:line="560" w:lineRule="exact"/>
        <w:ind w:firstLine="640" w:firstLineChars="200"/>
        <w:rPr>
          <w:rFonts w:eastAsia="仿宋_GB2312"/>
          <w:kern w:val="0"/>
          <w:szCs w:val="20"/>
        </w:rPr>
      </w:pPr>
      <w:r>
        <w:rPr>
          <w:rFonts w:hint="eastAsia" w:eastAsia="仿宋_GB2312"/>
          <w:kern w:val="0"/>
          <w:szCs w:val="20"/>
        </w:rPr>
        <w:t>1.报告中所列数据可能因四舍五入原因与数据直接相加之和存在尾数差异。</w:t>
      </w:r>
    </w:p>
    <w:p w14:paraId="284BC96A">
      <w:pPr>
        <w:spacing w:line="560" w:lineRule="exact"/>
        <w:ind w:firstLine="640" w:firstLineChars="200"/>
        <w:rPr>
          <w:rFonts w:eastAsia="仿宋_GB2312"/>
          <w:kern w:val="0"/>
          <w:szCs w:val="20"/>
        </w:rPr>
      </w:pPr>
      <w:r>
        <w:rPr>
          <w:rFonts w:hint="eastAsia" w:eastAsia="仿宋_GB2312"/>
          <w:kern w:val="0"/>
          <w:szCs w:val="20"/>
        </w:rPr>
        <w:t>2.行政许可数量、行政处罚和行政强制数量，包括已公开和依法未公开的全部处理决定。</w:t>
      </w:r>
    </w:p>
    <w:p w14:paraId="5B4A864B">
      <w:pPr>
        <w:spacing w:line="560" w:lineRule="exact"/>
        <w:ind w:firstLine="640" w:firstLineChars="200"/>
        <w:rPr>
          <w:rFonts w:eastAsia="仿宋_GB2312"/>
          <w:kern w:val="0"/>
          <w:szCs w:val="20"/>
        </w:rPr>
      </w:pPr>
      <w:r>
        <w:rPr>
          <w:rFonts w:hint="eastAsia" w:eastAsia="仿宋_GB2312"/>
          <w:kern w:val="0"/>
          <w:szCs w:val="20"/>
        </w:rPr>
        <w:t>3.行政复议机关作为共同被告的行政诉讼案件，只计算原行为主体的案件数量，不计算行政复议机关的案件数量。</w:t>
      </w:r>
    </w:p>
    <w:p w14:paraId="67DC94FB">
      <w:pPr>
        <w:spacing w:line="560" w:lineRule="exact"/>
        <w:ind w:firstLine="600" w:firstLineChars="200"/>
        <w:rPr>
          <w:rFonts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0F7872"/>
    <w:rsid w:val="00110130"/>
    <w:rsid w:val="00117733"/>
    <w:rsid w:val="00121DCF"/>
    <w:rsid w:val="00181761"/>
    <w:rsid w:val="001C6F92"/>
    <w:rsid w:val="00210F4D"/>
    <w:rsid w:val="00211942"/>
    <w:rsid w:val="002133C7"/>
    <w:rsid w:val="002311F2"/>
    <w:rsid w:val="002961F2"/>
    <w:rsid w:val="002E3543"/>
    <w:rsid w:val="003B5255"/>
    <w:rsid w:val="003D6FCB"/>
    <w:rsid w:val="003E75A6"/>
    <w:rsid w:val="00415AB1"/>
    <w:rsid w:val="004622F8"/>
    <w:rsid w:val="0046794E"/>
    <w:rsid w:val="00484D73"/>
    <w:rsid w:val="004C1750"/>
    <w:rsid w:val="004D241E"/>
    <w:rsid w:val="0051562C"/>
    <w:rsid w:val="00515DB1"/>
    <w:rsid w:val="00523855"/>
    <w:rsid w:val="005422B3"/>
    <w:rsid w:val="005626E3"/>
    <w:rsid w:val="00591E5D"/>
    <w:rsid w:val="005C0F41"/>
    <w:rsid w:val="005C3458"/>
    <w:rsid w:val="0065765D"/>
    <w:rsid w:val="00673AC7"/>
    <w:rsid w:val="006947A5"/>
    <w:rsid w:val="00704FCD"/>
    <w:rsid w:val="00712E6C"/>
    <w:rsid w:val="00822B5E"/>
    <w:rsid w:val="00850DEA"/>
    <w:rsid w:val="008C4ED2"/>
    <w:rsid w:val="00915D0B"/>
    <w:rsid w:val="009B028C"/>
    <w:rsid w:val="00AA06CA"/>
    <w:rsid w:val="00C078E9"/>
    <w:rsid w:val="00C439DE"/>
    <w:rsid w:val="00C542CC"/>
    <w:rsid w:val="00C67940"/>
    <w:rsid w:val="00C73BD0"/>
    <w:rsid w:val="00CA3B22"/>
    <w:rsid w:val="00CC2BE7"/>
    <w:rsid w:val="00CC521B"/>
    <w:rsid w:val="00CD1D00"/>
    <w:rsid w:val="00CE657F"/>
    <w:rsid w:val="00E02117"/>
    <w:rsid w:val="00E60B5D"/>
    <w:rsid w:val="00EA0721"/>
    <w:rsid w:val="00EE5C8F"/>
    <w:rsid w:val="00EF5607"/>
    <w:rsid w:val="00FA216A"/>
    <w:rsid w:val="00FB7F47"/>
    <w:rsid w:val="00FD5381"/>
    <w:rsid w:val="01AB29B3"/>
    <w:rsid w:val="02B50332"/>
    <w:rsid w:val="06507AC5"/>
    <w:rsid w:val="06F23C89"/>
    <w:rsid w:val="075E2FBF"/>
    <w:rsid w:val="0D593001"/>
    <w:rsid w:val="0D8306FF"/>
    <w:rsid w:val="11337794"/>
    <w:rsid w:val="14411236"/>
    <w:rsid w:val="15377925"/>
    <w:rsid w:val="17B0376D"/>
    <w:rsid w:val="1A540BFC"/>
    <w:rsid w:val="1E356E9F"/>
    <w:rsid w:val="1F9B7A37"/>
    <w:rsid w:val="21A345BC"/>
    <w:rsid w:val="21D44D8B"/>
    <w:rsid w:val="22862065"/>
    <w:rsid w:val="255C4E3A"/>
    <w:rsid w:val="262D3E9F"/>
    <w:rsid w:val="27491C76"/>
    <w:rsid w:val="28691DDD"/>
    <w:rsid w:val="29290FE4"/>
    <w:rsid w:val="299D6956"/>
    <w:rsid w:val="2CCA3E67"/>
    <w:rsid w:val="2D1E702B"/>
    <w:rsid w:val="2DC13DBD"/>
    <w:rsid w:val="2DE95A6A"/>
    <w:rsid w:val="2E9F1C93"/>
    <w:rsid w:val="32720676"/>
    <w:rsid w:val="33FF76FA"/>
    <w:rsid w:val="38635BD2"/>
    <w:rsid w:val="38D73699"/>
    <w:rsid w:val="3AB07DD1"/>
    <w:rsid w:val="3C991941"/>
    <w:rsid w:val="3CEC75CB"/>
    <w:rsid w:val="3DFE6F8F"/>
    <w:rsid w:val="3E29117A"/>
    <w:rsid w:val="3E777A0C"/>
    <w:rsid w:val="3F0502F7"/>
    <w:rsid w:val="414E6EE7"/>
    <w:rsid w:val="433C3CAC"/>
    <w:rsid w:val="44C35ACB"/>
    <w:rsid w:val="452852A4"/>
    <w:rsid w:val="45B02EE5"/>
    <w:rsid w:val="460F38B3"/>
    <w:rsid w:val="49870082"/>
    <w:rsid w:val="4A183AD8"/>
    <w:rsid w:val="4A235542"/>
    <w:rsid w:val="4BBE22D0"/>
    <w:rsid w:val="4D9E3F35"/>
    <w:rsid w:val="4EA34EA3"/>
    <w:rsid w:val="521A53C4"/>
    <w:rsid w:val="531925A7"/>
    <w:rsid w:val="53A42DFA"/>
    <w:rsid w:val="55115B0E"/>
    <w:rsid w:val="566F3390"/>
    <w:rsid w:val="587C41F7"/>
    <w:rsid w:val="59472EDA"/>
    <w:rsid w:val="5AA944D2"/>
    <w:rsid w:val="5B38211A"/>
    <w:rsid w:val="5B5721AF"/>
    <w:rsid w:val="5BC30933"/>
    <w:rsid w:val="5C660B47"/>
    <w:rsid w:val="5D364CCF"/>
    <w:rsid w:val="5DAE2DC0"/>
    <w:rsid w:val="5EF132C5"/>
    <w:rsid w:val="5FF67529"/>
    <w:rsid w:val="60A75CD1"/>
    <w:rsid w:val="618943CD"/>
    <w:rsid w:val="640B222E"/>
    <w:rsid w:val="64C6640E"/>
    <w:rsid w:val="67090219"/>
    <w:rsid w:val="685F1C5D"/>
    <w:rsid w:val="69842EAC"/>
    <w:rsid w:val="6A524E57"/>
    <w:rsid w:val="6C9D43C3"/>
    <w:rsid w:val="6D9614E2"/>
    <w:rsid w:val="6E770CAA"/>
    <w:rsid w:val="6F435D03"/>
    <w:rsid w:val="6F625CFC"/>
    <w:rsid w:val="6FD2769E"/>
    <w:rsid w:val="70512AD7"/>
    <w:rsid w:val="74DF33F1"/>
    <w:rsid w:val="788E3E44"/>
    <w:rsid w:val="7ACE71A7"/>
    <w:rsid w:val="7C4A0917"/>
    <w:rsid w:val="7D944A96"/>
    <w:rsid w:val="7EDE706A"/>
    <w:rsid w:val="7F656A09"/>
    <w:rsid w:val="7FC3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方正仿宋_GBK" w:cs="Times New Roman"/>
      <w:snapToGrid w:val="0"/>
      <w:kern w:val="0"/>
      <w:sz w:val="18"/>
      <w:szCs w:val="18"/>
    </w:rPr>
  </w:style>
  <w:style w:type="character" w:customStyle="1" w:styleId="10">
    <w:name w:val="页脚 Char"/>
    <w:basedOn w:val="8"/>
    <w:link w:val="4"/>
    <w:qFormat/>
    <w:uiPriority w:val="99"/>
    <w:rPr>
      <w:rFonts w:ascii="Times New Roman" w:hAnsi="Times New Roman" w:eastAsia="方正仿宋_GBK" w:cs="Times New Roman"/>
      <w:snapToGrid w:val="0"/>
      <w:kern w:val="0"/>
      <w:sz w:val="18"/>
      <w:szCs w:val="18"/>
    </w:rPr>
  </w:style>
  <w:style w:type="character" w:customStyle="1" w:styleId="11">
    <w:name w:val="批注框文本 Char"/>
    <w:basedOn w:val="8"/>
    <w:link w:val="3"/>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ocuments\xwechat_files\wxid_mhbmr44ugqb922_5920\msg\file\2026-01\&#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高青县统计局主动公开信息数量趋势图</a:t>
            </a:r>
          </a:p>
        </c:rich>
      </c:tx>
      <c:layout/>
      <c:overlay val="0"/>
      <c:spPr>
        <a:noFill/>
        <a:ln>
          <a:noFill/>
        </a:ln>
        <a:effectLst/>
      </c:spPr>
    </c:title>
    <c:autoTitleDeleted val="0"/>
    <c:plotArea>
      <c:layout/>
      <c:lineChart>
        <c:grouping val="stacked"/>
        <c:varyColors val="0"/>
        <c:ser>
          <c:idx val="0"/>
          <c:order val="0"/>
          <c:spPr>
            <a:ln w="28575" cap="rnd">
              <a:solidFill>
                <a:schemeClr val="accent1"/>
              </a:solidFill>
              <a:round/>
            </a:ln>
            <a:effectLst/>
          </c:spPr>
          <c:marker>
            <c:symbol val="none"/>
          </c:marker>
          <c:dLbls>
            <c:delete val="1"/>
          </c:dLbls>
          <c:cat>
            <c:numRef>
              <c:f>'[新建 XLSX 工作表.xlsx]Sheet1'!$B$19:$D$19</c:f>
              <c:numCache>
                <c:formatCode>General</c:formatCode>
                <c:ptCount val="3"/>
                <c:pt idx="0">
                  <c:v>2023</c:v>
                </c:pt>
                <c:pt idx="1">
                  <c:v>2024</c:v>
                </c:pt>
                <c:pt idx="2">
                  <c:v>2025</c:v>
                </c:pt>
              </c:numCache>
            </c:numRef>
          </c:cat>
          <c:val>
            <c:numRef>
              <c:f>'[新建 XLSX 工作表.xlsx]Sheet1'!$B$20:$D$20</c:f>
              <c:numCache>
                <c:formatCode>General</c:formatCode>
                <c:ptCount val="3"/>
                <c:pt idx="0">
                  <c:v>66</c:v>
                </c:pt>
                <c:pt idx="1">
                  <c:v>73</c:v>
                </c:pt>
                <c:pt idx="2">
                  <c:v>91</c:v>
                </c:pt>
              </c:numCache>
            </c:numRef>
          </c:val>
          <c:smooth val="0"/>
        </c:ser>
        <c:dLbls>
          <c:showLegendKey val="0"/>
          <c:showVal val="0"/>
          <c:showCatName val="0"/>
          <c:showSerName val="0"/>
          <c:showPercent val="0"/>
          <c:showBubbleSize val="0"/>
        </c:dLbls>
        <c:marker val="0"/>
        <c:smooth val="0"/>
        <c:axId val="412467264"/>
        <c:axId val="416073968"/>
      </c:lineChart>
      <c:catAx>
        <c:axId val="4124672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6073968"/>
        <c:crosses val="autoZero"/>
        <c:auto val="1"/>
        <c:lblAlgn val="ctr"/>
        <c:lblOffset val="100"/>
        <c:noMultiLvlLbl val="0"/>
      </c:catAx>
      <c:valAx>
        <c:axId val="41607396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2467264"/>
        <c:crosses val="autoZero"/>
        <c:crossBetween val="between"/>
      </c:valAx>
      <c:spPr>
        <a:noFill/>
        <a:ln>
          <a:noFill/>
        </a:ln>
        <a:effectLst/>
      </c:spPr>
    </c:plotArea>
    <c:plotVisOnly val="1"/>
    <c:dispBlanksAs val="zero"/>
    <c:showDLblsOverMax val="0"/>
    <c:extLst>
      <c:ext uri="{0b15fc19-7d7d-44ad-8c2d-2c3a37ce22c3}">
        <chartProps xmlns="https://web.wps.cn/et/2018/main" chartId="{8c66ba33-b82d-4793-bd7c-bb9a3d2410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3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1746</Words>
  <Characters>1859</Characters>
  <Lines>27</Lines>
  <Paragraphs>7</Paragraphs>
  <TotalTime>0</TotalTime>
  <ScaleCrop>false</ScaleCrop>
  <LinksUpToDate>false</LinksUpToDate>
  <CharactersWithSpaces>1859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K</cp:lastModifiedBy>
  <dcterms:modified xsi:type="dcterms:W3CDTF">2026-01-30T01:09:17Z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AB3B0C162B82452FA8D9027FA3DE2409_13</vt:lpwstr>
  </property>
  <property fmtid="{D5CDD505-2E9C-101B-9397-08002B2CF9AE}" pid="4" name="KSOTemplateDocerSaveRecord">
    <vt:lpwstr>eyJoZGlkIjoiNzJjYjIwZDgxYTExZGUxYWRmNDNhMWIyMzM1MDg3ODgiLCJ1c2VySWQiOiI3NTE2ODI5MTEifQ==</vt:lpwstr>
  </property>
</Properties>
</file>