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center"/>
        <w:rPr>
          <w:rFonts w:eastAsia="方正小标宋简体"/>
          <w:sz w:val="44"/>
          <w:szCs w:val="44"/>
        </w:rPr>
      </w:pPr>
      <w:r>
        <w:rPr>
          <w:rFonts w:eastAsia="方正小标宋简体"/>
          <w:sz w:val="44"/>
          <w:szCs w:val="44"/>
        </w:rPr>
        <w:t>高青县统计局</w:t>
      </w:r>
    </w:p>
    <w:p>
      <w:pPr>
        <w:spacing w:line="560" w:lineRule="exact"/>
        <w:ind w:firstLine="0"/>
        <w:jc w:val="center"/>
        <w:rPr>
          <w:rFonts w:eastAsia="方正小标宋简体"/>
          <w:sz w:val="44"/>
          <w:szCs w:val="44"/>
        </w:rPr>
      </w:pPr>
      <w:r>
        <w:rPr>
          <w:rFonts w:eastAsia="方正小标宋简体"/>
          <w:sz w:val="44"/>
          <w:szCs w:val="44"/>
        </w:rPr>
        <w:t>2021年政府信息公开工作年度报告</w:t>
      </w:r>
    </w:p>
    <w:p>
      <w:pPr>
        <w:snapToGrid/>
        <w:spacing w:line="560" w:lineRule="exact"/>
        <w:ind w:firstLine="640" w:firstLineChars="200"/>
        <w:rPr>
          <w:rFonts w:eastAsia="仿宋_GB2312"/>
          <w:szCs w:val="32"/>
        </w:rPr>
      </w:pPr>
    </w:p>
    <w:p>
      <w:pPr>
        <w:snapToGrid/>
        <w:spacing w:line="560" w:lineRule="exact"/>
        <w:ind w:firstLine="640" w:firstLineChars="200"/>
        <w:rPr>
          <w:rFonts w:eastAsia="仿宋_GB2312"/>
          <w:szCs w:val="32"/>
        </w:rPr>
      </w:pPr>
      <w:r>
        <w:rPr>
          <w:rFonts w:eastAsia="仿宋_GB2312"/>
          <w:szCs w:val="32"/>
        </w:rPr>
        <w:t>本报告根据《中华人民共和国政府信息公开条例》（国务院令第711号，以下简称《条例》）要求编制。</w:t>
      </w:r>
    </w:p>
    <w:p>
      <w:pPr>
        <w:snapToGrid/>
        <w:spacing w:line="560" w:lineRule="exact"/>
        <w:ind w:firstLine="640" w:firstLineChars="200"/>
        <w:rPr>
          <w:rFonts w:eastAsia="仿宋_GB2312"/>
          <w:szCs w:val="32"/>
        </w:rPr>
      </w:pPr>
      <w:r>
        <w:rPr>
          <w:rFonts w:eastAsia="仿宋_GB2312"/>
          <w:szCs w:val="32"/>
        </w:rPr>
        <w:t>报告全文分总体情况、主动公开政府信息情况、收到和处理政府信息公开申请情况、政府信息公开行政复议行政诉讼情况、存在的主要问题及改进情况、其他需要报告的事项6个部分。</w:t>
      </w:r>
    </w:p>
    <w:p>
      <w:pPr>
        <w:snapToGrid/>
        <w:spacing w:line="560" w:lineRule="exact"/>
        <w:ind w:firstLine="640" w:firstLineChars="200"/>
        <w:rPr>
          <w:rFonts w:eastAsia="仿宋_GB2312"/>
          <w:szCs w:val="32"/>
        </w:rPr>
      </w:pPr>
      <w:r>
        <w:rPr>
          <w:rFonts w:hint="eastAsia" w:eastAsia="仿宋_GB2312"/>
          <w:szCs w:val="32"/>
        </w:rPr>
        <w:t>报告中所列数据统计期限自2021年1月1日始，至2021年12月31日止。报告电子版可在高青县人民政府门户网站（www.gaoqing.gov.cn）查阅和下载。如对报告内容有疑问，请与高青县统计局办公室联系（地址：高青县清河路9号；邮编：256300；电话：0533-6697188；传真：0533-6967188）。</w:t>
      </w:r>
    </w:p>
    <w:p>
      <w:pPr>
        <w:snapToGrid/>
        <w:spacing w:line="560" w:lineRule="exact"/>
        <w:ind w:firstLine="640" w:firstLineChars="200"/>
        <w:rPr>
          <w:rFonts w:eastAsia="黑体"/>
          <w:szCs w:val="32"/>
        </w:rPr>
      </w:pPr>
      <w:r>
        <w:rPr>
          <w:rFonts w:eastAsia="黑体"/>
          <w:szCs w:val="32"/>
        </w:rPr>
        <w:t>一、总体情况</w:t>
      </w:r>
    </w:p>
    <w:p>
      <w:pPr>
        <w:snapToGrid/>
        <w:spacing w:line="560" w:lineRule="exact"/>
        <w:ind w:firstLine="640" w:firstLineChars="200"/>
        <w:rPr>
          <w:rFonts w:eastAsia="仿宋_GB2312"/>
          <w:szCs w:val="32"/>
        </w:rPr>
      </w:pPr>
      <w:r>
        <w:rPr>
          <w:rFonts w:eastAsia="楷体_GB2312"/>
        </w:rPr>
        <w:t>（一）主动公开</w:t>
      </w:r>
    </w:p>
    <w:p>
      <w:pPr>
        <w:spacing w:line="560" w:lineRule="exact"/>
        <w:ind w:firstLine="640" w:firstLineChars="200"/>
        <w:rPr>
          <w:rFonts w:eastAsia="仿宋_GB2312"/>
          <w:szCs w:val="32"/>
        </w:rPr>
      </w:pPr>
      <w:r>
        <w:rPr>
          <w:rFonts w:hint="eastAsia" w:eastAsia="仿宋_GB2312"/>
          <w:szCs w:val="32"/>
        </w:rPr>
        <w:t>深入学习贯彻《中华人民共和国政府信息公开条例》，结合统计工作实际制定了《高青县统计局2021年政务公开工作实施方案》。2021年通过县政府网站公开统计信息30余条，</w:t>
      </w:r>
      <w:r>
        <w:rPr>
          <w:rFonts w:eastAsia="仿宋_GB2312"/>
          <w:szCs w:val="32"/>
        </w:rPr>
        <w:t>主要包括统计公报、统计年鉴、统计数据、统计信息分析、统计违法举报、普查公报等。</w:t>
      </w:r>
      <w:r>
        <w:rPr>
          <w:rFonts w:hint="eastAsia" w:eastAsia="仿宋_GB2312"/>
          <w:szCs w:val="32"/>
        </w:rPr>
        <w:t>其中，</w:t>
      </w:r>
      <w:r>
        <w:rPr>
          <w:rFonts w:eastAsia="仿宋_GB2312"/>
          <w:szCs w:val="32"/>
        </w:rPr>
        <w:t>2021年度本单位统计信息领域信息公开数量20条</w:t>
      </w:r>
      <w:r>
        <w:rPr>
          <w:rFonts w:hint="eastAsia" w:eastAsia="仿宋_GB2312"/>
          <w:szCs w:val="32"/>
        </w:rPr>
        <w:t>，</w:t>
      </w:r>
      <w:r>
        <w:rPr>
          <w:rFonts w:eastAsia="仿宋_GB2312"/>
          <w:szCs w:val="32"/>
        </w:rPr>
        <w:t>机构职能领域信息公开数量1条</w:t>
      </w:r>
      <w:r>
        <w:rPr>
          <w:rFonts w:hint="eastAsia" w:eastAsia="仿宋_GB2312"/>
          <w:szCs w:val="32"/>
        </w:rPr>
        <w:t>，“</w:t>
      </w:r>
      <w:r>
        <w:rPr>
          <w:rFonts w:eastAsia="仿宋_GB2312"/>
          <w:szCs w:val="32"/>
        </w:rPr>
        <w:t>双随机</w:t>
      </w:r>
      <w:r>
        <w:rPr>
          <w:rFonts w:hint="eastAsia" w:eastAsia="仿宋_GB2312"/>
          <w:szCs w:val="32"/>
        </w:rPr>
        <w:t>、</w:t>
      </w:r>
      <w:r>
        <w:rPr>
          <w:rFonts w:eastAsia="仿宋_GB2312"/>
          <w:szCs w:val="32"/>
        </w:rPr>
        <w:t>一公开</w:t>
      </w:r>
      <w:r>
        <w:rPr>
          <w:rFonts w:hint="eastAsia" w:eastAsia="仿宋_GB2312"/>
          <w:szCs w:val="32"/>
        </w:rPr>
        <w:t>”</w:t>
      </w:r>
      <w:r>
        <w:rPr>
          <w:rFonts w:eastAsia="仿宋_GB2312"/>
          <w:szCs w:val="32"/>
        </w:rPr>
        <w:t>领域信息公开数量7条</w:t>
      </w:r>
      <w:r>
        <w:rPr>
          <w:rFonts w:hint="eastAsia" w:eastAsia="仿宋_GB2312"/>
          <w:szCs w:val="32"/>
        </w:rPr>
        <w:t>，</w:t>
      </w:r>
      <w:r>
        <w:rPr>
          <w:rFonts w:eastAsia="仿宋_GB2312"/>
          <w:szCs w:val="32"/>
        </w:rPr>
        <w:t>政务公开组织管理领域信息公开数量3条。</w:t>
      </w:r>
      <w:r>
        <w:rPr>
          <w:rFonts w:hint="eastAsia" w:eastAsia="仿宋_GB2312"/>
        </w:rPr>
        <w:t>举办</w:t>
      </w:r>
      <w:r>
        <w:rPr>
          <w:rFonts w:eastAsia="仿宋_GB2312"/>
        </w:rPr>
        <w:t>第十二届中国统计开放日活动，进一步提升了广大群众对统计工作的认知度，展现了统计部门公开透明的形象，</w:t>
      </w:r>
      <w:r>
        <w:rPr>
          <w:rFonts w:hint="eastAsia" w:eastAsia="仿宋_GB2312"/>
        </w:rPr>
        <w:t>让群众对统计工作有更直观的感受和更深刻的认识</w:t>
      </w:r>
      <w:r>
        <w:rPr>
          <w:rFonts w:eastAsia="仿宋_GB2312"/>
        </w:rPr>
        <w:t>。</w:t>
      </w:r>
    </w:p>
    <w:p>
      <w:pPr>
        <w:snapToGrid/>
        <w:spacing w:line="240" w:lineRule="auto"/>
        <w:ind w:firstLine="0"/>
        <w:jc w:val="center"/>
        <w:rPr>
          <w:rFonts w:eastAsia="仿宋_GB2312"/>
          <w:color w:val="000000"/>
          <w:szCs w:val="32"/>
          <w:shd w:val="clear" w:color="auto" w:fill="FFFFFF"/>
        </w:rPr>
      </w:pPr>
      <w:r>
        <w:rPr>
          <w:rFonts w:eastAsia="仿宋_GB2312"/>
          <w:color w:val="000000"/>
          <w:szCs w:val="32"/>
          <w:shd w:val="clear" w:color="auto" w:fill="FFFFFF"/>
        </w:rPr>
        <w:drawing>
          <wp:inline distT="0" distB="0" distL="114300" distR="114300">
            <wp:extent cx="4848225" cy="3693795"/>
            <wp:effectExtent l="0" t="0" r="0" b="1905"/>
            <wp:docPr id="4" name="图片 4" descr="微信图片_2022011015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110152345"/>
                    <pic:cNvPicPr>
                      <a:picLocks noChangeAspect="1"/>
                    </pic:cNvPicPr>
                  </pic:nvPicPr>
                  <pic:blipFill>
                    <a:blip r:embed="rId7"/>
                    <a:stretch>
                      <a:fillRect/>
                    </a:stretch>
                  </pic:blipFill>
                  <pic:spPr>
                    <a:xfrm>
                      <a:off x="0" y="0"/>
                      <a:ext cx="4850329" cy="3695532"/>
                    </a:xfrm>
                    <a:prstGeom prst="rect">
                      <a:avLst/>
                    </a:prstGeom>
                  </pic:spPr>
                </pic:pic>
              </a:graphicData>
            </a:graphic>
          </wp:inline>
        </w:drawing>
      </w:r>
      <w:r>
        <w:rPr>
          <w:rFonts w:eastAsia="仿宋_GB2312"/>
          <w:snapToGrid/>
          <w:color w:val="000000"/>
          <w:szCs w:val="32"/>
        </w:rPr>
        <w:drawing>
          <wp:inline distT="0" distB="0" distL="0" distR="0">
            <wp:extent cx="4848225" cy="3321685"/>
            <wp:effectExtent l="0" t="0" r="0" b="0"/>
            <wp:docPr id="3" name="图片 3" descr="C:\Users\Administrator.luobo-504031037\Desktop\微信图片_2022012011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luobo-504031037\Desktop\微信图片_2022012011223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51202" cy="3323884"/>
                    </a:xfrm>
                    <a:prstGeom prst="rect">
                      <a:avLst/>
                    </a:prstGeom>
                    <a:noFill/>
                    <a:ln>
                      <a:noFill/>
                    </a:ln>
                  </pic:spPr>
                </pic:pic>
              </a:graphicData>
            </a:graphic>
          </wp:inline>
        </w:drawing>
      </w:r>
    </w:p>
    <w:p>
      <w:pPr>
        <w:snapToGrid/>
        <w:spacing w:line="240" w:lineRule="auto"/>
        <w:ind w:firstLine="640" w:firstLineChars="200"/>
        <w:rPr>
          <w:rFonts w:eastAsia="仿宋_GB2312"/>
          <w:color w:val="000000"/>
          <w:szCs w:val="32"/>
        </w:rPr>
      </w:pPr>
    </w:p>
    <w:p>
      <w:pPr>
        <w:spacing w:line="560" w:lineRule="exact"/>
        <w:ind w:firstLine="640" w:firstLineChars="200"/>
        <w:rPr>
          <w:rFonts w:eastAsia="楷体_GB2312"/>
        </w:rPr>
      </w:pPr>
      <w:r>
        <w:rPr>
          <w:rFonts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2021年未收到政府信息公开申请，上年度未结转政府信息公开申请，未因政府信息公开被申请行政复议、提起行政诉讼。</w:t>
      </w:r>
    </w:p>
    <w:p>
      <w:pPr>
        <w:spacing w:line="560" w:lineRule="exact"/>
        <w:ind w:firstLine="640" w:firstLineChars="200"/>
        <w:rPr>
          <w:rFonts w:eastAsia="楷体_GB2312"/>
        </w:rPr>
      </w:pPr>
      <w:r>
        <w:rPr>
          <w:rFonts w:eastAsia="楷体_GB2312"/>
        </w:rPr>
        <w:t>（三）政府信息管理</w:t>
      </w:r>
    </w:p>
    <w:p>
      <w:pPr>
        <w:spacing w:line="560" w:lineRule="exact"/>
        <w:ind w:firstLine="640" w:firstLineChars="200"/>
        <w:rPr>
          <w:rFonts w:hint="eastAsia" w:ascii="仿宋_GB2312" w:eastAsia="仿宋_GB2312"/>
          <w:szCs w:val="32"/>
        </w:rPr>
      </w:pPr>
      <w:r>
        <w:rPr>
          <w:rFonts w:hint="eastAsia" w:ascii="仿宋_GB2312" w:eastAsia="仿宋_GB2312"/>
          <w:szCs w:val="32"/>
        </w:rPr>
        <w:t>加强制度化、标准化管理进程，制定政策文件管理制度，提高文件体系管理的规范化。加强我局政府信息的管理，促进政府信息管理动态调整的制度化、规范化，做好政府信息动态调整管理工作，根据《中华人民共和国政府信息公开条例》等相关规定，结合我局实际，建立健全政府信息管理动态调整机制，做好规范性文件的动态管理，在制度层面使政府信息公开管理动态调整工作常态化。</w:t>
      </w:r>
    </w:p>
    <w:p>
      <w:pPr>
        <w:spacing w:line="560" w:lineRule="exact"/>
        <w:ind w:left="640" w:firstLine="0"/>
        <w:rPr>
          <w:rFonts w:eastAsia="楷体_GB2312"/>
        </w:rPr>
      </w:pPr>
      <w:r>
        <w:rPr>
          <w:rFonts w:hint="eastAsia" w:eastAsia="楷体_GB2312"/>
        </w:rPr>
        <w:t>（四）</w:t>
      </w:r>
      <w:r>
        <w:rPr>
          <w:rFonts w:eastAsia="楷体_GB2312"/>
        </w:rPr>
        <w:t>政府信息公开平台建设</w:t>
      </w:r>
    </w:p>
    <w:p>
      <w:pPr>
        <w:spacing w:line="560" w:lineRule="exact"/>
        <w:rPr>
          <w:rFonts w:eastAsia="仿宋_GB2312"/>
          <w:szCs w:val="32"/>
        </w:rPr>
      </w:pPr>
      <w:r>
        <w:rPr>
          <w:rFonts w:hint="eastAsia" w:eastAsia="仿宋_GB2312"/>
          <w:szCs w:val="32"/>
        </w:rPr>
        <w:t>一是</w:t>
      </w:r>
      <w:r>
        <w:rPr>
          <w:rFonts w:eastAsia="仿宋_GB2312"/>
          <w:szCs w:val="32"/>
        </w:rPr>
        <w:t>充分发挥高青县人民政府网站主动公开目录及统计信息专栏作为政府信息公开第一平台的作用，保障群众的知情权。</w:t>
      </w:r>
      <w:r>
        <w:rPr>
          <w:rFonts w:hint="eastAsia" w:eastAsia="仿宋_GB2312"/>
          <w:szCs w:val="32"/>
        </w:rPr>
        <w:t>二是继续通过微信公众号积极发布本单位工作动态，确保信息传递的及时性，提高</w:t>
      </w:r>
      <w:r>
        <w:rPr>
          <w:rFonts w:hint="eastAsia" w:eastAsia="仿宋_GB2312"/>
          <w:szCs w:val="32"/>
          <w:lang w:val="en-US" w:eastAsia="zh-CN"/>
        </w:rPr>
        <w:t>政府</w:t>
      </w:r>
      <w:bookmarkStart w:id="0" w:name="_GoBack"/>
      <w:bookmarkEnd w:id="0"/>
      <w:r>
        <w:rPr>
          <w:rFonts w:hint="eastAsia" w:eastAsia="仿宋_GB2312"/>
          <w:szCs w:val="32"/>
        </w:rPr>
        <w:t>信息传送的有效性，加强群众的监督。</w:t>
      </w:r>
    </w:p>
    <w:p>
      <w:pPr>
        <w:spacing w:line="240" w:lineRule="auto"/>
        <w:ind w:firstLine="0"/>
        <w:rPr>
          <w:rFonts w:eastAsia="仿宋_GB2312"/>
          <w:szCs w:val="32"/>
        </w:rPr>
      </w:pPr>
      <w:r>
        <w:rPr>
          <w:rFonts w:hint="eastAsia" w:eastAsia="仿宋_GB2312"/>
          <w:szCs w:val="32"/>
        </w:rPr>
        <w:drawing>
          <wp:inline distT="0" distB="0" distL="114300" distR="114300">
            <wp:extent cx="5535295" cy="3526790"/>
            <wp:effectExtent l="0" t="0" r="8255" b="16510"/>
            <wp:docPr id="2" name="图片 2" descr="微信图片_2022011014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10142259"/>
                    <pic:cNvPicPr>
                      <a:picLocks noChangeAspect="1"/>
                    </pic:cNvPicPr>
                  </pic:nvPicPr>
                  <pic:blipFill>
                    <a:blip r:embed="rId9"/>
                    <a:stretch>
                      <a:fillRect/>
                    </a:stretch>
                  </pic:blipFill>
                  <pic:spPr>
                    <a:xfrm>
                      <a:off x="0" y="0"/>
                      <a:ext cx="5535295" cy="3526790"/>
                    </a:xfrm>
                    <a:prstGeom prst="rect">
                      <a:avLst/>
                    </a:prstGeom>
                  </pic:spPr>
                </pic:pic>
              </a:graphicData>
            </a:graphic>
          </wp:inline>
        </w:drawing>
      </w:r>
    </w:p>
    <w:p>
      <w:pPr>
        <w:spacing w:line="560" w:lineRule="exact"/>
        <w:ind w:firstLine="640" w:firstLineChars="200"/>
        <w:rPr>
          <w:rFonts w:eastAsia="楷体_GB2312"/>
        </w:rPr>
      </w:pPr>
      <w:r>
        <w:rPr>
          <w:rFonts w:hint="eastAsia" w:eastAsia="楷体_GB2312"/>
        </w:rPr>
        <w:t>（五）</w:t>
      </w:r>
      <w:r>
        <w:rPr>
          <w:rFonts w:eastAsia="楷体_GB2312"/>
        </w:rPr>
        <w:t>监督保障</w:t>
      </w:r>
    </w:p>
    <w:p>
      <w:pPr>
        <w:spacing w:line="560" w:lineRule="exact"/>
        <w:rPr>
          <w:rFonts w:eastAsia="仿宋_GB2312"/>
          <w:kern w:val="2"/>
          <w:szCs w:val="32"/>
        </w:rPr>
      </w:pPr>
      <w:r>
        <w:rPr>
          <w:rFonts w:hint="eastAsia" w:eastAsia="仿宋_GB2312"/>
          <w:kern w:val="2"/>
          <w:szCs w:val="32"/>
        </w:rPr>
        <w:t>成立了由局长任组长、分管副局长为副组长，各科室负责人为成员的政务公开领导小组，办公室负责政府信息公开工作，配备了1名专职人员负责政务公开工作。2021年共开展了3次业务培训，包括日常培训、集中培训、重点培训，深入学习政务公开职责任务、责任分工、工作标准和流程，讲解年度重点工作。</w:t>
      </w:r>
    </w:p>
    <w:p>
      <w:pPr>
        <w:spacing w:line="560" w:lineRule="exact"/>
        <w:rPr>
          <w:rFonts w:eastAsia="楷体_GB2312"/>
        </w:rPr>
      </w:pPr>
    </w:p>
    <w:p>
      <w:pPr>
        <w:spacing w:line="560" w:lineRule="exact"/>
        <w:rPr>
          <w:rFonts w:eastAsia="楷体_GB2312"/>
        </w:rPr>
      </w:pPr>
    </w:p>
    <w:p>
      <w:pPr>
        <w:spacing w:line="560" w:lineRule="exact"/>
        <w:rPr>
          <w:rFonts w:eastAsia="楷体_GB2312"/>
        </w:rPr>
      </w:pPr>
    </w:p>
    <w:p>
      <w:pPr>
        <w:spacing w:line="560" w:lineRule="exact"/>
        <w:rPr>
          <w:rFonts w:eastAsia="楷体_GB2312"/>
        </w:rPr>
      </w:pPr>
    </w:p>
    <w:p>
      <w:pPr>
        <w:spacing w:line="560" w:lineRule="exact"/>
        <w:rPr>
          <w:rFonts w:eastAsia="楷体_GB2312"/>
        </w:rPr>
      </w:pPr>
    </w:p>
    <w:p>
      <w:pPr>
        <w:spacing w:line="560" w:lineRule="exact"/>
        <w:rPr>
          <w:rFonts w:eastAsia="楷体_GB2312"/>
        </w:rPr>
      </w:pPr>
    </w:p>
    <w:p>
      <w:pPr>
        <w:numPr>
          <w:ilvl w:val="0"/>
          <w:numId w:val="1"/>
        </w:numPr>
        <w:spacing w:line="560" w:lineRule="exact"/>
        <w:ind w:firstLine="640" w:firstLineChars="200"/>
        <w:rPr>
          <w:rFonts w:eastAsia="黑体"/>
          <w:szCs w:val="32"/>
        </w:rPr>
      </w:pPr>
      <w:r>
        <w:rPr>
          <w:rFonts w:eastAsia="黑体"/>
          <w:szCs w:val="32"/>
        </w:rPr>
        <w:t>主动公开政府信息情况</w:t>
      </w:r>
    </w:p>
    <w:tbl>
      <w:tblPr>
        <w:tblStyle w:val="9"/>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1"/>
        <w:gridCol w:w="2018"/>
        <w:gridCol w:w="2019"/>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87" w:type="dxa"/>
            <w:gridSpan w:val="4"/>
            <w:vAlign w:val="center"/>
          </w:tcPr>
          <w:p>
            <w:pPr>
              <w:spacing w:line="240" w:lineRule="auto"/>
              <w:ind w:firstLine="0"/>
              <w:jc w:val="center"/>
              <w:rPr>
                <w:rFonts w:eastAsia="仿宋_GB2312"/>
                <w:sz w:val="20"/>
              </w:rPr>
            </w:pPr>
            <w:r>
              <w:rPr>
                <w:rFonts w:eastAsia="仿宋_GB2312"/>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91" w:type="dxa"/>
            <w:vAlign w:val="center"/>
          </w:tcPr>
          <w:p>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2018" w:type="dxa"/>
            <w:vAlign w:val="center"/>
          </w:tcPr>
          <w:p>
            <w:pPr>
              <w:widowControl/>
              <w:autoSpaceDE/>
              <w:autoSpaceDN/>
              <w:snapToGrid/>
              <w:spacing w:line="240" w:lineRule="auto"/>
              <w:ind w:firstLine="0"/>
              <w:jc w:val="center"/>
              <w:rPr>
                <w:rFonts w:eastAsia="仿宋_GB2312"/>
                <w:snapToGrid/>
                <w:sz w:val="20"/>
              </w:rPr>
            </w:pPr>
            <w:r>
              <w:rPr>
                <w:rFonts w:eastAsia="仿宋_GB2312"/>
                <w:snapToGrid/>
                <w:color w:val="000000"/>
                <w:sz w:val="20"/>
              </w:rPr>
              <w:t>本年</w:t>
            </w:r>
            <w:r>
              <w:rPr>
                <w:rFonts w:eastAsia="仿宋_GB2312"/>
                <w:snapToGrid/>
                <w:sz w:val="20"/>
              </w:rPr>
              <w:t>制发件数</w:t>
            </w:r>
          </w:p>
        </w:tc>
        <w:tc>
          <w:tcPr>
            <w:tcW w:w="2019" w:type="dxa"/>
            <w:vAlign w:val="center"/>
          </w:tcPr>
          <w:p>
            <w:pPr>
              <w:widowControl/>
              <w:autoSpaceDE/>
              <w:autoSpaceDN/>
              <w:snapToGrid/>
              <w:spacing w:line="240" w:lineRule="auto"/>
              <w:ind w:firstLine="0"/>
              <w:jc w:val="center"/>
              <w:rPr>
                <w:rFonts w:eastAsia="仿宋_GB2312"/>
                <w:snapToGrid/>
                <w:sz w:val="20"/>
              </w:rPr>
            </w:pPr>
            <w:r>
              <w:rPr>
                <w:rFonts w:eastAsia="仿宋_GB2312"/>
                <w:snapToGrid/>
                <w:color w:val="000000"/>
                <w:sz w:val="20"/>
              </w:rPr>
              <w:t>本年废止件数</w:t>
            </w:r>
          </w:p>
        </w:tc>
        <w:tc>
          <w:tcPr>
            <w:tcW w:w="2959" w:type="dxa"/>
            <w:vAlign w:val="center"/>
          </w:tcPr>
          <w:p>
            <w:pPr>
              <w:widowControl/>
              <w:autoSpaceDE/>
              <w:autoSpaceDN/>
              <w:snapToGrid/>
              <w:spacing w:line="240" w:lineRule="auto"/>
              <w:ind w:firstLine="0"/>
              <w:jc w:val="center"/>
              <w:rPr>
                <w:rFonts w:eastAsia="仿宋_GB2312"/>
                <w:snapToGrid/>
                <w:sz w:val="20"/>
              </w:rPr>
            </w:pPr>
            <w:r>
              <w:rPr>
                <w:rFonts w:eastAsia="仿宋_GB2312"/>
                <w:snapToGrid/>
                <w:color w:val="000000"/>
                <w:sz w:val="20"/>
              </w:rPr>
              <w:t>现行有效件</w:t>
            </w:r>
            <w:r>
              <w:rPr>
                <w:rFonts w:eastAsia="仿宋_GB2312"/>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91" w:type="dxa"/>
            <w:vAlign w:val="center"/>
          </w:tcPr>
          <w:p>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规章</w:t>
            </w:r>
          </w:p>
        </w:tc>
        <w:tc>
          <w:tcPr>
            <w:tcW w:w="2018" w:type="dxa"/>
            <w:vAlign w:val="center"/>
          </w:tcPr>
          <w:p>
            <w:pPr>
              <w:spacing w:line="240" w:lineRule="auto"/>
              <w:ind w:firstLine="0"/>
              <w:jc w:val="center"/>
              <w:rPr>
                <w:rFonts w:eastAsia="仿宋_GB2312"/>
                <w:sz w:val="24"/>
                <w:szCs w:val="24"/>
              </w:rPr>
            </w:pPr>
            <w:r>
              <w:rPr>
                <w:rFonts w:eastAsia="仿宋_GB2312"/>
                <w:sz w:val="24"/>
                <w:szCs w:val="24"/>
              </w:rPr>
              <w:t>0</w:t>
            </w:r>
          </w:p>
        </w:tc>
        <w:tc>
          <w:tcPr>
            <w:tcW w:w="2019" w:type="dxa"/>
            <w:vAlign w:val="center"/>
          </w:tcPr>
          <w:p>
            <w:pPr>
              <w:spacing w:line="240" w:lineRule="auto"/>
              <w:ind w:firstLine="0"/>
              <w:jc w:val="center"/>
              <w:rPr>
                <w:rFonts w:eastAsia="仿宋_GB2312"/>
                <w:sz w:val="20"/>
              </w:rPr>
            </w:pPr>
            <w:r>
              <w:rPr>
                <w:rFonts w:eastAsia="仿宋_GB2312"/>
                <w:sz w:val="20"/>
              </w:rPr>
              <w:t>0</w:t>
            </w:r>
          </w:p>
        </w:tc>
        <w:tc>
          <w:tcPr>
            <w:tcW w:w="2959" w:type="dxa"/>
            <w:vAlign w:val="center"/>
          </w:tcPr>
          <w:p>
            <w:pPr>
              <w:spacing w:line="240" w:lineRule="auto"/>
              <w:ind w:firstLine="0"/>
              <w:jc w:val="center"/>
              <w:rPr>
                <w:rFonts w:eastAsia="仿宋_GB2312"/>
                <w:sz w:val="20"/>
              </w:rPr>
            </w:pPr>
            <w:r>
              <w:rPr>
                <w:rFonts w:eastAsia="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91" w:type="dxa"/>
            <w:vAlign w:val="center"/>
          </w:tcPr>
          <w:p>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行政规范性文件</w:t>
            </w:r>
          </w:p>
        </w:tc>
        <w:tc>
          <w:tcPr>
            <w:tcW w:w="2018" w:type="dxa"/>
            <w:vAlign w:val="center"/>
          </w:tcPr>
          <w:p>
            <w:pPr>
              <w:spacing w:line="240" w:lineRule="auto"/>
              <w:ind w:firstLine="0"/>
              <w:jc w:val="center"/>
              <w:rPr>
                <w:rFonts w:eastAsia="仿宋_GB2312"/>
                <w:sz w:val="20"/>
              </w:rPr>
            </w:pPr>
            <w:r>
              <w:rPr>
                <w:rFonts w:eastAsia="仿宋_GB2312"/>
                <w:sz w:val="20"/>
              </w:rPr>
              <w:t>0</w:t>
            </w:r>
          </w:p>
        </w:tc>
        <w:tc>
          <w:tcPr>
            <w:tcW w:w="2019" w:type="dxa"/>
            <w:vAlign w:val="center"/>
          </w:tcPr>
          <w:p>
            <w:pPr>
              <w:spacing w:line="240" w:lineRule="auto"/>
              <w:ind w:firstLine="0"/>
              <w:jc w:val="center"/>
              <w:rPr>
                <w:rFonts w:eastAsia="仿宋_GB2312"/>
                <w:sz w:val="20"/>
              </w:rPr>
            </w:pPr>
            <w:r>
              <w:rPr>
                <w:rFonts w:eastAsia="仿宋_GB2312"/>
                <w:sz w:val="20"/>
              </w:rPr>
              <w:t>0</w:t>
            </w:r>
          </w:p>
        </w:tc>
        <w:tc>
          <w:tcPr>
            <w:tcW w:w="2959" w:type="dxa"/>
            <w:vAlign w:val="center"/>
          </w:tcPr>
          <w:p>
            <w:pPr>
              <w:spacing w:line="240" w:lineRule="auto"/>
              <w:ind w:firstLine="0"/>
              <w:jc w:val="center"/>
              <w:rPr>
                <w:rFonts w:eastAsia="仿宋_GB2312"/>
                <w:sz w:val="20"/>
              </w:rPr>
            </w:pPr>
            <w:r>
              <w:rPr>
                <w:rFonts w:eastAsia="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87" w:type="dxa"/>
            <w:gridSpan w:val="4"/>
            <w:vAlign w:val="center"/>
          </w:tcPr>
          <w:p>
            <w:pPr>
              <w:spacing w:line="240" w:lineRule="auto"/>
              <w:ind w:firstLine="0"/>
              <w:jc w:val="center"/>
              <w:rPr>
                <w:rFonts w:eastAsia="仿宋_GB2312"/>
                <w:snapToGrid/>
                <w:color w:val="000000"/>
                <w:sz w:val="20"/>
              </w:rPr>
            </w:pPr>
            <w:r>
              <w:rPr>
                <w:rFonts w:eastAsia="仿宋_GB2312"/>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91" w:type="dxa"/>
            <w:vAlign w:val="center"/>
          </w:tcPr>
          <w:p>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6996" w:type="dxa"/>
            <w:gridSpan w:val="3"/>
            <w:vAlign w:val="center"/>
          </w:tcPr>
          <w:p>
            <w:pPr>
              <w:spacing w:line="240" w:lineRule="auto"/>
              <w:ind w:firstLine="0"/>
              <w:jc w:val="center"/>
              <w:rPr>
                <w:rFonts w:eastAsia="仿宋_GB2312"/>
                <w:sz w:val="20"/>
              </w:rPr>
            </w:pPr>
            <w:r>
              <w:rPr>
                <w:rFonts w:eastAsia="仿宋_GB2312"/>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91" w:type="dxa"/>
            <w:vAlign w:val="center"/>
          </w:tcPr>
          <w:p>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行政许可</w:t>
            </w:r>
          </w:p>
        </w:tc>
        <w:tc>
          <w:tcPr>
            <w:tcW w:w="6996" w:type="dxa"/>
            <w:gridSpan w:val="3"/>
            <w:vAlign w:val="center"/>
          </w:tcPr>
          <w:p>
            <w:pPr>
              <w:spacing w:line="240" w:lineRule="auto"/>
              <w:ind w:firstLine="0"/>
              <w:jc w:val="center"/>
              <w:rPr>
                <w:rFonts w:eastAsia="仿宋_GB2312"/>
                <w:sz w:val="20"/>
              </w:rPr>
            </w:pPr>
            <w:r>
              <w:rPr>
                <w:rFonts w:eastAsia="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87" w:type="dxa"/>
            <w:gridSpan w:val="4"/>
            <w:vAlign w:val="center"/>
          </w:tcPr>
          <w:p>
            <w:pPr>
              <w:spacing w:line="240" w:lineRule="auto"/>
              <w:ind w:firstLine="0"/>
              <w:jc w:val="center"/>
              <w:rPr>
                <w:rFonts w:eastAsia="仿宋_GB2312"/>
                <w:snapToGrid/>
                <w:color w:val="000000"/>
                <w:sz w:val="20"/>
              </w:rPr>
            </w:pPr>
            <w:r>
              <w:rPr>
                <w:rFonts w:eastAsia="仿宋_GB2312"/>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91" w:type="dxa"/>
            <w:vAlign w:val="center"/>
          </w:tcPr>
          <w:p>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6996" w:type="dxa"/>
            <w:gridSpan w:val="3"/>
            <w:vAlign w:val="center"/>
          </w:tcPr>
          <w:p>
            <w:pPr>
              <w:spacing w:line="240" w:lineRule="auto"/>
              <w:ind w:firstLine="0"/>
              <w:jc w:val="center"/>
              <w:rPr>
                <w:rFonts w:eastAsia="仿宋_GB2312"/>
                <w:sz w:val="20"/>
              </w:rPr>
            </w:pPr>
            <w:r>
              <w:rPr>
                <w:rFonts w:eastAsia="仿宋_GB2312"/>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91" w:type="dxa"/>
            <w:vAlign w:val="center"/>
          </w:tcPr>
          <w:p>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行政处罚</w:t>
            </w:r>
          </w:p>
        </w:tc>
        <w:tc>
          <w:tcPr>
            <w:tcW w:w="6996" w:type="dxa"/>
            <w:gridSpan w:val="3"/>
            <w:vAlign w:val="center"/>
          </w:tcPr>
          <w:p>
            <w:pPr>
              <w:spacing w:line="240" w:lineRule="auto"/>
              <w:ind w:firstLine="0"/>
              <w:jc w:val="center"/>
              <w:rPr>
                <w:rFonts w:eastAsia="仿宋_GB2312"/>
                <w:sz w:val="20"/>
              </w:rPr>
            </w:pPr>
            <w:r>
              <w:rPr>
                <w:rFonts w:eastAsia="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91" w:type="dxa"/>
            <w:vAlign w:val="center"/>
          </w:tcPr>
          <w:p>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行政强制</w:t>
            </w:r>
          </w:p>
        </w:tc>
        <w:tc>
          <w:tcPr>
            <w:tcW w:w="6996" w:type="dxa"/>
            <w:gridSpan w:val="3"/>
            <w:vAlign w:val="center"/>
          </w:tcPr>
          <w:p>
            <w:pPr>
              <w:spacing w:line="240" w:lineRule="auto"/>
              <w:ind w:firstLine="0"/>
              <w:jc w:val="center"/>
              <w:rPr>
                <w:rFonts w:eastAsia="仿宋_GB2312"/>
                <w:sz w:val="20"/>
              </w:rPr>
            </w:pPr>
            <w:r>
              <w:rPr>
                <w:rFonts w:eastAsia="仿宋_GB2312"/>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87" w:type="dxa"/>
            <w:gridSpan w:val="4"/>
            <w:vAlign w:val="center"/>
          </w:tcPr>
          <w:p>
            <w:pPr>
              <w:spacing w:line="240" w:lineRule="auto"/>
              <w:ind w:firstLine="0"/>
              <w:jc w:val="center"/>
              <w:rPr>
                <w:rFonts w:eastAsia="仿宋_GB2312"/>
                <w:snapToGrid/>
                <w:color w:val="000000"/>
                <w:sz w:val="20"/>
              </w:rPr>
            </w:pPr>
            <w:r>
              <w:rPr>
                <w:rFonts w:eastAsia="仿宋_GB2312"/>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91" w:type="dxa"/>
            <w:vAlign w:val="center"/>
          </w:tcPr>
          <w:p>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6996" w:type="dxa"/>
            <w:gridSpan w:val="3"/>
            <w:vAlign w:val="center"/>
          </w:tcPr>
          <w:p>
            <w:pPr>
              <w:spacing w:line="240" w:lineRule="auto"/>
              <w:ind w:firstLine="0"/>
              <w:jc w:val="center"/>
              <w:rPr>
                <w:rFonts w:eastAsia="仿宋_GB2312"/>
                <w:sz w:val="20"/>
              </w:rPr>
            </w:pPr>
            <w:r>
              <w:rPr>
                <w:rFonts w:eastAsia="仿宋_GB2312"/>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91" w:type="dxa"/>
            <w:vAlign w:val="center"/>
          </w:tcPr>
          <w:p>
            <w:pPr>
              <w:widowControl/>
              <w:autoSpaceDE/>
              <w:autoSpaceDN/>
              <w:snapToGrid/>
              <w:spacing w:line="240" w:lineRule="auto"/>
              <w:ind w:firstLine="0"/>
              <w:rPr>
                <w:rFonts w:eastAsia="仿宋_GB2312"/>
                <w:snapToGrid/>
                <w:color w:val="000000"/>
                <w:sz w:val="20"/>
              </w:rPr>
            </w:pPr>
            <w:r>
              <w:rPr>
                <w:rFonts w:eastAsia="仿宋_GB2312"/>
                <w:snapToGrid/>
                <w:color w:val="000000"/>
                <w:sz w:val="20"/>
              </w:rPr>
              <w:t>行政事业性收费</w:t>
            </w:r>
          </w:p>
        </w:tc>
        <w:tc>
          <w:tcPr>
            <w:tcW w:w="6996" w:type="dxa"/>
            <w:gridSpan w:val="3"/>
            <w:vAlign w:val="center"/>
          </w:tcPr>
          <w:p>
            <w:pPr>
              <w:spacing w:line="240" w:lineRule="auto"/>
              <w:ind w:firstLine="0"/>
              <w:jc w:val="center"/>
              <w:rPr>
                <w:rFonts w:eastAsia="仿宋_GB2312"/>
                <w:sz w:val="20"/>
              </w:rPr>
            </w:pPr>
            <w:r>
              <w:rPr>
                <w:rFonts w:eastAsia="仿宋_GB2312"/>
                <w:sz w:val="20"/>
              </w:rPr>
              <w:t>0</w:t>
            </w:r>
          </w:p>
        </w:tc>
      </w:tr>
    </w:tbl>
    <w:p>
      <w:pPr>
        <w:spacing w:line="240" w:lineRule="auto"/>
        <w:ind w:firstLine="0"/>
        <w:rPr>
          <w:rFonts w:eastAsia="仿宋_GB2312"/>
          <w:sz w:val="30"/>
          <w:szCs w:val="30"/>
        </w:rPr>
      </w:pPr>
    </w:p>
    <w:p>
      <w:pPr>
        <w:spacing w:after="219" w:afterLines="50" w:line="560" w:lineRule="exact"/>
        <w:ind w:firstLine="0"/>
        <w:rPr>
          <w:rFonts w:eastAsia="黑体"/>
          <w:szCs w:val="32"/>
        </w:rPr>
      </w:pPr>
    </w:p>
    <w:p>
      <w:pPr>
        <w:spacing w:after="219" w:afterLines="50" w:line="560" w:lineRule="exact"/>
        <w:ind w:firstLine="0"/>
        <w:rPr>
          <w:rFonts w:eastAsia="黑体"/>
          <w:szCs w:val="32"/>
        </w:rPr>
      </w:pPr>
    </w:p>
    <w:p>
      <w:pPr>
        <w:spacing w:after="219" w:afterLines="50" w:line="560" w:lineRule="exact"/>
        <w:ind w:firstLine="0"/>
        <w:rPr>
          <w:rFonts w:eastAsia="黑体"/>
          <w:szCs w:val="32"/>
        </w:rPr>
      </w:pPr>
    </w:p>
    <w:p>
      <w:pPr>
        <w:spacing w:after="219" w:afterLines="50" w:line="560" w:lineRule="exact"/>
        <w:ind w:firstLine="0"/>
        <w:rPr>
          <w:rFonts w:eastAsia="黑体"/>
          <w:szCs w:val="32"/>
        </w:rPr>
      </w:pPr>
    </w:p>
    <w:p>
      <w:pPr>
        <w:spacing w:after="219" w:afterLines="50" w:line="560" w:lineRule="exact"/>
        <w:ind w:firstLine="0"/>
        <w:rPr>
          <w:rFonts w:eastAsia="黑体"/>
          <w:szCs w:val="32"/>
        </w:rPr>
      </w:pPr>
    </w:p>
    <w:p>
      <w:pPr>
        <w:spacing w:after="219" w:afterLines="50" w:line="560" w:lineRule="exact"/>
        <w:ind w:firstLine="0"/>
        <w:rPr>
          <w:rFonts w:eastAsia="黑体"/>
          <w:szCs w:val="32"/>
        </w:rPr>
      </w:pPr>
      <w:r>
        <w:rPr>
          <w:rFonts w:hint="eastAsia" w:eastAsia="黑体"/>
          <w:szCs w:val="32"/>
        </w:rPr>
        <w:t>三、</w:t>
      </w:r>
      <w:r>
        <w:rPr>
          <w:rFonts w:eastAsia="黑体"/>
          <w:szCs w:val="32"/>
        </w:rPr>
        <w:t>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商业</w:t>
            </w:r>
          </w:p>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科研</w:t>
            </w:r>
          </w:p>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r>
      <w:tr>
        <w:tblPrEx>
          <w:tblCellMar>
            <w:top w:w="0" w:type="dxa"/>
            <w:left w:w="0" w:type="dxa"/>
            <w:bottom w:w="0" w:type="dxa"/>
            <w:right w:w="0" w:type="dxa"/>
          </w:tblCellMar>
        </w:tblPrEx>
        <w:trPr>
          <w:trHeight w:val="377" w:hRule="atLeast"/>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396" w:hRule="atLeast"/>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402" w:hRule="atLeast"/>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724"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300" w:lineRule="exact"/>
              <w:ind w:firstLine="0"/>
              <w:jc w:val="left"/>
              <w:rPr>
                <w:rFonts w:eastAsia="仿宋_GB2312"/>
                <w:snapToGrid/>
                <w:sz w:val="24"/>
                <w:szCs w:val="24"/>
              </w:rPr>
            </w:pPr>
            <w:r>
              <w:rPr>
                <w:rFonts w:eastAsia="仿宋_GB2312"/>
                <w:snapToGrid/>
                <w:sz w:val="20"/>
              </w:rPr>
              <w:t>（二）部分公开（区分处理的，只计这一情形，不计其他情形）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rPr>
                <w:rFonts w:eastAsia="仿宋_GB2312"/>
                <w:snapToGrid/>
                <w:sz w:val="24"/>
                <w:szCs w:val="24"/>
              </w:rPr>
            </w:pPr>
            <w:r>
              <w:rPr>
                <w:rFonts w:eastAsia="仿宋_GB2312"/>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386"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rPr>
                <w:rFonts w:eastAsia="仿宋_GB2312"/>
                <w:snapToGrid/>
                <w:sz w:val="24"/>
                <w:szCs w:val="24"/>
              </w:rPr>
            </w:pPr>
            <w:r>
              <w:rPr>
                <w:rFonts w:eastAsia="仿宋_GB2312"/>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440"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rPr>
                <w:rFonts w:eastAsia="仿宋_GB2312"/>
                <w:snapToGrid/>
                <w:sz w:val="24"/>
                <w:szCs w:val="24"/>
              </w:rPr>
            </w:pPr>
            <w:r>
              <w:rPr>
                <w:rFonts w:eastAsia="仿宋_GB2312"/>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40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rPr>
                <w:rFonts w:eastAsia="仿宋_GB2312"/>
                <w:snapToGrid/>
                <w:sz w:val="24"/>
                <w:szCs w:val="24"/>
              </w:rPr>
            </w:pPr>
            <w:r>
              <w:rPr>
                <w:rFonts w:eastAsia="仿宋_GB2312"/>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39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rPr>
                <w:rFonts w:eastAsia="仿宋_GB2312"/>
                <w:snapToGrid/>
                <w:sz w:val="24"/>
                <w:szCs w:val="24"/>
              </w:rPr>
            </w:pPr>
            <w:r>
              <w:rPr>
                <w:rFonts w:eastAsia="仿宋_GB2312"/>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rPr>
                <w:rFonts w:eastAsia="仿宋_GB2312"/>
                <w:snapToGrid/>
                <w:sz w:val="24"/>
                <w:szCs w:val="24"/>
              </w:rPr>
            </w:pPr>
            <w:r>
              <w:rPr>
                <w:rFonts w:eastAsia="仿宋_GB2312"/>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925"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300" w:lineRule="exact"/>
              <w:ind w:firstLine="0"/>
              <w:rPr>
                <w:rFonts w:eastAsia="仿宋_GB2312"/>
                <w:snapToGrid/>
                <w:sz w:val="24"/>
                <w:szCs w:val="24"/>
              </w:rPr>
            </w:pPr>
            <w:r>
              <w:rPr>
                <w:rFonts w:eastAsia="仿宋_GB2312"/>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825"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300" w:lineRule="exact"/>
              <w:ind w:firstLine="0"/>
              <w:rPr>
                <w:rFonts w:eastAsia="仿宋_GB2312"/>
                <w:snapToGrid/>
                <w:sz w:val="24"/>
                <w:szCs w:val="24"/>
              </w:rPr>
            </w:pPr>
            <w:r>
              <w:rPr>
                <w:rFonts w:eastAsia="仿宋_GB2312"/>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472"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461"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adjustRightInd w:val="0"/>
              <w:spacing w:line="240" w:lineRule="auto"/>
              <w:ind w:firstLine="0"/>
              <w:jc w:val="left"/>
              <w:rPr>
                <w:rFonts w:eastAsia="仿宋_GB2312"/>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r>
        <w:tblPrEx>
          <w:tblCellMar>
            <w:top w:w="0" w:type="dxa"/>
            <w:left w:w="0" w:type="dxa"/>
            <w:bottom w:w="0" w:type="dxa"/>
            <w:right w:w="0" w:type="dxa"/>
          </w:tblCellMar>
        </w:tblPrEx>
        <w:trPr>
          <w:trHeight w:val="466" w:hRule="atLeast"/>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left"/>
              <w:rPr>
                <w:rFonts w:eastAsia="仿宋_GB2312"/>
                <w:snapToGrid/>
                <w:sz w:val="24"/>
                <w:szCs w:val="24"/>
              </w:rPr>
            </w:pPr>
            <w:r>
              <w:rPr>
                <w:rFonts w:eastAsia="仿宋_GB2312"/>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adjustRightInd w:val="0"/>
              <w:spacing w:line="240" w:lineRule="auto"/>
              <w:ind w:firstLine="0"/>
              <w:jc w:val="center"/>
              <w:rPr>
                <w:rFonts w:eastAsia="仿宋_GB2312"/>
                <w:snapToGrid/>
                <w:sz w:val="24"/>
                <w:szCs w:val="24"/>
              </w:rPr>
            </w:pPr>
            <w:r>
              <w:rPr>
                <w:rFonts w:eastAsia="仿宋_GB2312"/>
                <w:snapToGrid/>
                <w:sz w:val="20"/>
              </w:rPr>
              <w:t>0</w:t>
            </w:r>
          </w:p>
        </w:tc>
      </w:tr>
    </w:tbl>
    <w:p>
      <w:pPr>
        <w:spacing w:after="219" w:afterLines="50" w:line="560" w:lineRule="exact"/>
        <w:ind w:left="640" w:leftChars="200" w:firstLine="0"/>
        <w:rPr>
          <w:rFonts w:eastAsia="黑体"/>
          <w:sz w:val="30"/>
          <w:szCs w:val="30"/>
        </w:rPr>
      </w:pPr>
      <w:r>
        <w:rPr>
          <w:rFonts w:hint="eastAsia" w:eastAsia="黑体"/>
          <w:szCs w:val="32"/>
        </w:rPr>
        <w:t>四、</w:t>
      </w:r>
      <w:r>
        <w:rPr>
          <w:rFonts w:eastAsia="黑体"/>
          <w:szCs w:val="32"/>
        </w:rPr>
        <w:t>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0"/>
              </w:rPr>
            </w:pPr>
            <w:r>
              <w:rPr>
                <w:rFonts w:eastAsia="仿宋_GB2312"/>
                <w:snapToGrid/>
                <w:sz w:val="20"/>
              </w:rPr>
              <w:t>结果</w:t>
            </w:r>
          </w:p>
          <w:p>
            <w:pPr>
              <w:widowControl/>
              <w:autoSpaceDE/>
              <w:autoSpaceDN/>
              <w:snapToGrid/>
              <w:spacing w:line="240" w:lineRule="auto"/>
              <w:ind w:firstLine="0"/>
              <w:jc w:val="center"/>
              <w:rPr>
                <w:rFonts w:eastAsia="仿宋_GB2312"/>
                <w:snapToGrid/>
                <w:sz w:val="24"/>
                <w:szCs w:val="24"/>
              </w:rPr>
            </w:pPr>
            <w:r>
              <w:rPr>
                <w:rFonts w:eastAsia="仿宋_GB2312"/>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0"/>
              </w:rPr>
            </w:pPr>
            <w:r>
              <w:rPr>
                <w:rFonts w:eastAsia="仿宋_GB2312"/>
                <w:snapToGrid/>
                <w:sz w:val="20"/>
              </w:rPr>
              <w:t>其他</w:t>
            </w:r>
          </w:p>
          <w:p>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0"/>
              </w:rPr>
            </w:pPr>
            <w:r>
              <w:rPr>
                <w:rFonts w:eastAsia="仿宋_GB2312"/>
                <w:snapToGrid/>
                <w:sz w:val="20"/>
              </w:rPr>
              <w:t>尚未</w:t>
            </w:r>
          </w:p>
          <w:p>
            <w:pPr>
              <w:widowControl/>
              <w:autoSpaceDE/>
              <w:autoSpaceDN/>
              <w:snapToGrid/>
              <w:spacing w:line="240" w:lineRule="auto"/>
              <w:ind w:firstLine="0"/>
              <w:jc w:val="center"/>
              <w:rPr>
                <w:rFonts w:eastAsia="仿宋_GB2312"/>
                <w:snapToGrid/>
                <w:sz w:val="24"/>
                <w:szCs w:val="24"/>
              </w:rPr>
            </w:pPr>
            <w:r>
              <w:rPr>
                <w:rFonts w:eastAsia="仿宋_GB2312"/>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仿宋_GB2312"/>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仿宋_GB2312"/>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仿宋_GB2312"/>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仿宋_GB2312"/>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仿宋_GB2312"/>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0"/>
              </w:rPr>
            </w:pPr>
            <w:r>
              <w:rPr>
                <w:rFonts w:eastAsia="仿宋_GB2312"/>
                <w:snapToGrid/>
                <w:sz w:val="20"/>
              </w:rPr>
              <w:t>结果</w:t>
            </w:r>
          </w:p>
          <w:p>
            <w:pPr>
              <w:widowControl/>
              <w:autoSpaceDE/>
              <w:autoSpaceDN/>
              <w:snapToGrid/>
              <w:spacing w:line="240" w:lineRule="auto"/>
              <w:ind w:firstLine="0"/>
              <w:jc w:val="center"/>
              <w:rPr>
                <w:rFonts w:eastAsia="仿宋_GB2312"/>
                <w:snapToGrid/>
                <w:sz w:val="24"/>
                <w:szCs w:val="24"/>
              </w:rPr>
            </w:pPr>
            <w:r>
              <w:rPr>
                <w:rFonts w:eastAsia="仿宋_GB2312"/>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0"/>
              </w:rPr>
            </w:pPr>
            <w:r>
              <w:rPr>
                <w:rFonts w:eastAsia="仿宋_GB2312"/>
                <w:snapToGrid/>
                <w:sz w:val="20"/>
              </w:rPr>
              <w:t>结果</w:t>
            </w:r>
          </w:p>
          <w:p>
            <w:pPr>
              <w:widowControl/>
              <w:autoSpaceDE/>
              <w:autoSpaceDN/>
              <w:snapToGrid/>
              <w:spacing w:line="240" w:lineRule="auto"/>
              <w:ind w:firstLine="0"/>
              <w:jc w:val="center"/>
              <w:rPr>
                <w:rFonts w:eastAsia="仿宋_GB2312"/>
                <w:snapToGrid/>
                <w:sz w:val="24"/>
                <w:szCs w:val="24"/>
              </w:rPr>
            </w:pPr>
            <w:r>
              <w:rPr>
                <w:rFonts w:eastAsia="仿宋_GB2312"/>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0"/>
              </w:rPr>
            </w:pPr>
            <w:r>
              <w:rPr>
                <w:rFonts w:eastAsia="仿宋_GB2312"/>
                <w:snapToGrid/>
                <w:sz w:val="20"/>
              </w:rPr>
              <w:t>其他</w:t>
            </w:r>
          </w:p>
          <w:p>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0"/>
              </w:rPr>
            </w:pPr>
            <w:r>
              <w:rPr>
                <w:rFonts w:eastAsia="仿宋_GB2312"/>
                <w:snapToGrid/>
                <w:sz w:val="20"/>
              </w:rPr>
              <w:t>尚未</w:t>
            </w:r>
          </w:p>
          <w:p>
            <w:pPr>
              <w:widowControl/>
              <w:autoSpaceDE/>
              <w:autoSpaceDN/>
              <w:snapToGrid/>
              <w:spacing w:line="240" w:lineRule="auto"/>
              <w:ind w:firstLine="0"/>
              <w:jc w:val="center"/>
              <w:rPr>
                <w:rFonts w:eastAsia="仿宋_GB2312"/>
                <w:snapToGrid/>
                <w:sz w:val="24"/>
                <w:szCs w:val="24"/>
              </w:rPr>
            </w:pPr>
            <w:r>
              <w:rPr>
                <w:rFonts w:eastAsia="仿宋_GB2312"/>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0"/>
              </w:rPr>
            </w:pPr>
            <w:r>
              <w:rPr>
                <w:rFonts w:eastAsia="仿宋_GB2312"/>
                <w:snapToGrid/>
                <w:sz w:val="20"/>
              </w:rPr>
              <w:t>结果</w:t>
            </w:r>
          </w:p>
          <w:p>
            <w:pPr>
              <w:widowControl/>
              <w:autoSpaceDE/>
              <w:autoSpaceDN/>
              <w:snapToGrid/>
              <w:spacing w:line="240" w:lineRule="auto"/>
              <w:ind w:firstLine="0"/>
              <w:jc w:val="center"/>
              <w:rPr>
                <w:rFonts w:eastAsia="仿宋_GB2312"/>
                <w:snapToGrid/>
                <w:sz w:val="24"/>
                <w:szCs w:val="24"/>
              </w:rPr>
            </w:pPr>
            <w:r>
              <w:rPr>
                <w:rFonts w:eastAsia="仿宋_GB2312"/>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0"/>
              </w:rPr>
            </w:pPr>
            <w:r>
              <w:rPr>
                <w:rFonts w:eastAsia="仿宋_GB2312"/>
                <w:snapToGrid/>
                <w:sz w:val="20"/>
              </w:rPr>
              <w:t>结果</w:t>
            </w:r>
          </w:p>
          <w:p>
            <w:pPr>
              <w:widowControl/>
              <w:autoSpaceDE/>
              <w:autoSpaceDN/>
              <w:snapToGrid/>
              <w:spacing w:line="240" w:lineRule="auto"/>
              <w:ind w:firstLine="0"/>
              <w:jc w:val="center"/>
              <w:rPr>
                <w:rFonts w:eastAsia="仿宋_GB2312"/>
                <w:snapToGrid/>
                <w:sz w:val="24"/>
                <w:szCs w:val="24"/>
              </w:rPr>
            </w:pPr>
            <w:r>
              <w:rPr>
                <w:rFonts w:eastAsia="仿宋_GB2312"/>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其他</w:t>
            </w:r>
          </w:p>
          <w:p>
            <w:pPr>
              <w:widowControl/>
              <w:autoSpaceDE/>
              <w:autoSpaceDN/>
              <w:snapToGrid/>
              <w:spacing w:line="240" w:lineRule="auto"/>
              <w:ind w:firstLine="0"/>
              <w:jc w:val="center"/>
              <w:rPr>
                <w:rFonts w:eastAsia="仿宋_GB2312"/>
                <w:snapToGrid/>
                <w:sz w:val="24"/>
                <w:szCs w:val="24"/>
              </w:rPr>
            </w:pPr>
            <w:r>
              <w:rPr>
                <w:rFonts w:eastAsia="仿宋_GB2312"/>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0"/>
              </w:rPr>
            </w:pPr>
            <w:r>
              <w:rPr>
                <w:rFonts w:eastAsia="仿宋_GB2312"/>
                <w:snapToGrid/>
                <w:sz w:val="20"/>
              </w:rPr>
              <w:t>尚未</w:t>
            </w:r>
          </w:p>
          <w:p>
            <w:pPr>
              <w:widowControl/>
              <w:autoSpaceDE/>
              <w:autoSpaceDN/>
              <w:snapToGrid/>
              <w:spacing w:line="240" w:lineRule="auto"/>
              <w:ind w:firstLine="0"/>
              <w:jc w:val="center"/>
              <w:rPr>
                <w:rFonts w:eastAsia="仿宋_GB2312"/>
                <w:snapToGrid/>
                <w:sz w:val="24"/>
                <w:szCs w:val="24"/>
              </w:rPr>
            </w:pPr>
            <w:r>
              <w:rPr>
                <w:rFonts w:eastAsia="仿宋_GB2312"/>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eastAsia="仿宋_GB2312"/>
                <w:snapToGrid/>
                <w:sz w:val="24"/>
                <w:szCs w:val="24"/>
              </w:rPr>
            </w:pPr>
            <w:r>
              <w:rPr>
                <w:rFonts w:eastAsia="仿宋_GB2312"/>
                <w:snapToGrid/>
                <w:sz w:val="24"/>
                <w:szCs w:val="24"/>
              </w:rPr>
              <w:t>0</w:t>
            </w:r>
          </w:p>
        </w:tc>
      </w:tr>
    </w:tbl>
    <w:p>
      <w:pPr>
        <w:spacing w:line="240" w:lineRule="auto"/>
        <w:ind w:firstLine="640" w:firstLineChars="200"/>
        <w:rPr>
          <w:rFonts w:eastAsia="仿宋_GB2312"/>
          <w:szCs w:val="32"/>
        </w:rPr>
      </w:pPr>
    </w:p>
    <w:p>
      <w:pPr>
        <w:spacing w:line="560" w:lineRule="exact"/>
        <w:ind w:firstLine="640" w:firstLineChars="200"/>
        <w:rPr>
          <w:rFonts w:ascii="黑体" w:hAnsi="黑体" w:eastAsia="黑体" w:cs="黑体"/>
          <w:szCs w:val="32"/>
        </w:rPr>
      </w:pPr>
      <w:r>
        <w:rPr>
          <w:rFonts w:hint="eastAsia" w:ascii="黑体" w:hAnsi="黑体" w:eastAsia="黑体" w:cs="黑体"/>
          <w:szCs w:val="32"/>
        </w:rPr>
        <w:t>五、存在的主要问题及改进情况</w:t>
      </w:r>
    </w:p>
    <w:p>
      <w:pPr>
        <w:spacing w:line="560" w:lineRule="exact"/>
        <w:ind w:firstLine="640" w:firstLineChars="200"/>
        <w:rPr>
          <w:rFonts w:eastAsia="楷体_GB2312"/>
          <w:szCs w:val="32"/>
        </w:rPr>
      </w:pPr>
      <w:r>
        <w:rPr>
          <w:rFonts w:eastAsia="楷体_GB2312"/>
          <w:szCs w:val="32"/>
        </w:rPr>
        <w:t>（一）存在问题</w:t>
      </w:r>
    </w:p>
    <w:p>
      <w:pPr>
        <w:spacing w:line="560" w:lineRule="exact"/>
        <w:ind w:firstLine="640" w:firstLineChars="200"/>
        <w:rPr>
          <w:rFonts w:eastAsia="仿宋_GB2312"/>
          <w:szCs w:val="32"/>
        </w:rPr>
      </w:pPr>
      <w:r>
        <w:rPr>
          <w:rFonts w:eastAsia="仿宋_GB2312"/>
          <w:szCs w:val="32"/>
        </w:rPr>
        <w:t>一是</w:t>
      </w:r>
      <w:r>
        <w:rPr>
          <w:rFonts w:hint="eastAsia" w:eastAsia="仿宋_GB2312"/>
          <w:szCs w:val="32"/>
          <w:lang w:val="en-US" w:eastAsia="zh-CN"/>
        </w:rPr>
        <w:t>政府</w:t>
      </w:r>
      <w:r>
        <w:rPr>
          <w:rFonts w:eastAsia="仿宋_GB2312"/>
          <w:szCs w:val="32"/>
        </w:rPr>
        <w:t>信息公开的内容</w:t>
      </w:r>
      <w:r>
        <w:rPr>
          <w:rFonts w:hint="eastAsia" w:eastAsia="仿宋_GB2312"/>
          <w:szCs w:val="32"/>
        </w:rPr>
        <w:t>还</w:t>
      </w:r>
      <w:r>
        <w:rPr>
          <w:rFonts w:eastAsia="仿宋_GB2312"/>
          <w:szCs w:val="32"/>
        </w:rPr>
        <w:t>不够全面</w:t>
      </w:r>
      <w:r>
        <w:rPr>
          <w:rFonts w:hint="eastAsia" w:eastAsia="仿宋_GB2312"/>
          <w:szCs w:val="32"/>
        </w:rPr>
        <w:t>，信息公开的力度还不够大，单位的信息公开制度还不够完善。</w:t>
      </w:r>
    </w:p>
    <w:p>
      <w:pPr>
        <w:spacing w:line="560" w:lineRule="exact"/>
        <w:ind w:firstLine="640" w:firstLineChars="200"/>
        <w:rPr>
          <w:rFonts w:eastAsia="仿宋_GB2312"/>
          <w:szCs w:val="32"/>
        </w:rPr>
      </w:pPr>
      <w:r>
        <w:rPr>
          <w:rFonts w:eastAsia="仿宋_GB2312"/>
          <w:szCs w:val="32"/>
        </w:rPr>
        <w:t>二是</w:t>
      </w:r>
      <w:r>
        <w:rPr>
          <w:rFonts w:hint="eastAsia" w:eastAsia="仿宋_GB2312"/>
          <w:szCs w:val="32"/>
          <w:lang w:val="en-US" w:eastAsia="zh-CN"/>
        </w:rPr>
        <w:t>政府</w:t>
      </w:r>
      <w:r>
        <w:rPr>
          <w:rFonts w:eastAsia="仿宋_GB2312"/>
          <w:szCs w:val="32"/>
        </w:rPr>
        <w:t>信息公开</w:t>
      </w:r>
      <w:r>
        <w:rPr>
          <w:rFonts w:hint="eastAsia" w:eastAsia="仿宋_GB2312"/>
          <w:szCs w:val="32"/>
        </w:rPr>
        <w:t>工作</w:t>
      </w:r>
      <w:r>
        <w:rPr>
          <w:rFonts w:eastAsia="仿宋_GB2312"/>
          <w:szCs w:val="32"/>
        </w:rPr>
        <w:t>有时不够及时</w:t>
      </w:r>
      <w:r>
        <w:rPr>
          <w:rFonts w:hint="eastAsia" w:eastAsia="仿宋_GB2312"/>
          <w:szCs w:val="32"/>
        </w:rPr>
        <w:t>,未做好对于相关</w:t>
      </w:r>
      <w:r>
        <w:rPr>
          <w:rFonts w:hint="eastAsia" w:eastAsia="仿宋_GB2312"/>
          <w:szCs w:val="32"/>
          <w:lang w:val="en-US" w:eastAsia="zh-CN"/>
        </w:rPr>
        <w:t>政府</w:t>
      </w:r>
      <w:r>
        <w:rPr>
          <w:rFonts w:hint="eastAsia" w:eastAsia="仿宋_GB2312"/>
          <w:szCs w:val="32"/>
        </w:rPr>
        <w:t>信息第一时间准确公开的要求，没有充分发挥</w:t>
      </w:r>
      <w:r>
        <w:rPr>
          <w:rFonts w:hint="eastAsia" w:eastAsia="仿宋_GB2312"/>
          <w:szCs w:val="32"/>
          <w:lang w:val="en-US" w:eastAsia="zh-CN"/>
        </w:rPr>
        <w:t>政府</w:t>
      </w:r>
      <w:r>
        <w:rPr>
          <w:rFonts w:hint="eastAsia" w:eastAsia="仿宋_GB2312"/>
          <w:szCs w:val="32"/>
        </w:rPr>
        <w:t>信息公开工作的时效性功能。</w:t>
      </w:r>
    </w:p>
    <w:p>
      <w:pPr>
        <w:spacing w:line="560" w:lineRule="exact"/>
        <w:ind w:firstLine="640" w:firstLineChars="200"/>
        <w:rPr>
          <w:rFonts w:eastAsia="楷体_GB2312"/>
          <w:szCs w:val="32"/>
        </w:rPr>
      </w:pPr>
      <w:r>
        <w:rPr>
          <w:rFonts w:eastAsia="楷体_GB2312"/>
          <w:szCs w:val="32"/>
        </w:rPr>
        <w:t>（二）改进措施</w:t>
      </w:r>
    </w:p>
    <w:p>
      <w:pPr>
        <w:spacing w:line="560" w:lineRule="exact"/>
        <w:ind w:firstLine="640" w:firstLineChars="200"/>
        <w:rPr>
          <w:rFonts w:eastAsia="仿宋_GB2312"/>
          <w:szCs w:val="32"/>
        </w:rPr>
      </w:pPr>
      <w:r>
        <w:rPr>
          <w:rFonts w:eastAsia="仿宋_GB2312"/>
          <w:szCs w:val="32"/>
        </w:rPr>
        <w:t>一是加大信息公开力度。进一步完善信息公开制度，强化信息公开的责任意识、大局意识、服务意识，确保</w:t>
      </w:r>
      <w:r>
        <w:rPr>
          <w:rFonts w:hint="eastAsia" w:eastAsia="仿宋_GB2312"/>
          <w:szCs w:val="32"/>
          <w:lang w:val="en-US" w:eastAsia="zh-CN"/>
        </w:rPr>
        <w:t>政府</w:t>
      </w:r>
      <w:r>
        <w:rPr>
          <w:rFonts w:eastAsia="仿宋_GB2312"/>
          <w:szCs w:val="32"/>
        </w:rPr>
        <w:t>信息公开工作及时、准确。</w:t>
      </w:r>
    </w:p>
    <w:p>
      <w:pPr>
        <w:spacing w:line="560" w:lineRule="exact"/>
        <w:ind w:firstLine="640" w:firstLineChars="200"/>
        <w:rPr>
          <w:rFonts w:eastAsia="仿宋_GB2312"/>
          <w:szCs w:val="32"/>
        </w:rPr>
      </w:pPr>
      <w:r>
        <w:rPr>
          <w:rFonts w:eastAsia="仿宋_GB2312"/>
          <w:szCs w:val="32"/>
        </w:rPr>
        <w:t>二是拓宽监督渠道，更好地接受社会公众对本单位信息公开情况的监督。</w:t>
      </w:r>
    </w:p>
    <w:p>
      <w:pPr>
        <w:spacing w:line="560" w:lineRule="exact"/>
        <w:ind w:firstLine="640" w:firstLineChars="200"/>
        <w:rPr>
          <w:rFonts w:eastAsia="仿宋_GB2312"/>
          <w:szCs w:val="32"/>
        </w:rPr>
      </w:pPr>
      <w:r>
        <w:rPr>
          <w:rFonts w:eastAsia="仿宋_GB2312"/>
          <w:szCs w:val="32"/>
        </w:rPr>
        <w:t>三是增加</w:t>
      </w:r>
      <w:r>
        <w:rPr>
          <w:rFonts w:hint="eastAsia" w:eastAsia="仿宋_GB2312"/>
          <w:szCs w:val="32"/>
          <w:lang w:val="en-US" w:eastAsia="zh-CN"/>
        </w:rPr>
        <w:t>政府</w:t>
      </w:r>
      <w:r>
        <w:rPr>
          <w:rFonts w:eastAsia="仿宋_GB2312"/>
          <w:szCs w:val="32"/>
        </w:rPr>
        <w:t>信息公开的培训次数，提高培训质量，提高每一位工作人员的业务能力和业务素质。</w:t>
      </w:r>
    </w:p>
    <w:p>
      <w:pPr>
        <w:spacing w:line="560" w:lineRule="exact"/>
        <w:ind w:firstLine="640" w:firstLineChars="200"/>
        <w:rPr>
          <w:rFonts w:eastAsia="黑体"/>
          <w:szCs w:val="32"/>
        </w:rPr>
      </w:pPr>
      <w:r>
        <w:rPr>
          <w:rFonts w:eastAsia="黑体"/>
          <w:szCs w:val="32"/>
        </w:rPr>
        <w:t>六、其他需要报告的事项</w:t>
      </w:r>
    </w:p>
    <w:p>
      <w:pPr>
        <w:spacing w:line="560" w:lineRule="exact"/>
        <w:ind w:firstLine="640" w:firstLineChars="200"/>
        <w:rPr>
          <w:rFonts w:eastAsia="楷体_GB2312"/>
          <w:szCs w:val="32"/>
        </w:rPr>
      </w:pPr>
      <w:r>
        <w:rPr>
          <w:rFonts w:eastAsia="楷体_GB2312"/>
          <w:szCs w:val="32"/>
        </w:rPr>
        <w:t>（一）收取信息处理费情况</w:t>
      </w:r>
    </w:p>
    <w:p>
      <w:pPr>
        <w:spacing w:line="560" w:lineRule="exact"/>
        <w:ind w:firstLine="640" w:firstLineChars="200"/>
        <w:rPr>
          <w:rFonts w:eastAsia="仿宋_GB2312"/>
          <w:szCs w:val="32"/>
        </w:rPr>
      </w:pPr>
      <w:r>
        <w:rPr>
          <w:rFonts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eastAsia="楷体_GB2312"/>
          <w:szCs w:val="32"/>
        </w:rPr>
      </w:pPr>
      <w:r>
        <w:rPr>
          <w:rFonts w:hint="eastAsia" w:eastAsia="楷体_GB2312"/>
          <w:szCs w:val="32"/>
        </w:rPr>
        <w:t>（二）</w:t>
      </w:r>
      <w:r>
        <w:rPr>
          <w:rFonts w:eastAsia="楷体_GB2312"/>
          <w:szCs w:val="32"/>
        </w:rPr>
        <w:t>落实上级年度政务公开工作要点情况</w:t>
      </w:r>
    </w:p>
    <w:p>
      <w:pPr>
        <w:spacing w:line="560" w:lineRule="exact"/>
        <w:ind w:firstLine="640" w:firstLineChars="200"/>
        <w:rPr>
          <w:rFonts w:eastAsia="仿宋_GB2312"/>
          <w:szCs w:val="32"/>
        </w:rPr>
      </w:pPr>
      <w:r>
        <w:rPr>
          <w:rFonts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规定，制定了《高青县统计局2021年政务公开工作实施方案》，</w:t>
      </w:r>
      <w:r>
        <w:rPr>
          <w:rFonts w:hint="eastAsia" w:eastAsia="仿宋_GB2312"/>
          <w:szCs w:val="32"/>
        </w:rPr>
        <w:t>在本单位及时学习相关政务公开的政策要求，定期展开培训工作，各专业负责人积极探讨本单位政务公开工作的每一步规划，并严格根据本单位实际情况进行部署落实，配备专职人员及时学习并积极努力做好政务公开工作，专职人员对于工作过程中存在的问题及时向专业人员请教并改正，</w:t>
      </w:r>
      <w:r>
        <w:rPr>
          <w:rFonts w:eastAsia="仿宋_GB2312"/>
          <w:szCs w:val="32"/>
        </w:rPr>
        <w:t>目前各项工作已落实到位。</w:t>
      </w:r>
    </w:p>
    <w:p>
      <w:pPr>
        <w:spacing w:line="560" w:lineRule="exact"/>
        <w:ind w:left="420" w:firstLine="0"/>
        <w:rPr>
          <w:rFonts w:eastAsia="楷体_GB2312"/>
          <w:szCs w:val="32"/>
        </w:rPr>
      </w:pPr>
      <w:r>
        <w:rPr>
          <w:rFonts w:hint="eastAsia" w:eastAsia="楷体_GB2312"/>
          <w:szCs w:val="32"/>
        </w:rPr>
        <w:t>（三）</w:t>
      </w:r>
      <w:r>
        <w:rPr>
          <w:rFonts w:eastAsia="楷体_GB2312"/>
          <w:szCs w:val="32"/>
        </w:rPr>
        <w:t>人大代表建议和政协委员提案办理结果公开情况</w:t>
      </w:r>
    </w:p>
    <w:p>
      <w:pPr>
        <w:spacing w:line="560" w:lineRule="exact"/>
        <w:rPr>
          <w:rFonts w:eastAsia="仿宋_GB2312"/>
          <w:szCs w:val="32"/>
        </w:rPr>
      </w:pPr>
      <w:r>
        <w:rPr>
          <w:rFonts w:eastAsia="仿宋_GB2312"/>
          <w:szCs w:val="32"/>
        </w:rPr>
        <w:t>2021年，本机关未承办县十七届人大五次会议建议、县政协十四届五次会议提案。</w:t>
      </w:r>
    </w:p>
    <w:p>
      <w:pPr>
        <w:spacing w:line="560" w:lineRule="exact"/>
        <w:ind w:firstLine="640" w:firstLineChars="200"/>
        <w:rPr>
          <w:rFonts w:eastAsia="楷体_GB2312"/>
          <w:szCs w:val="32"/>
        </w:rPr>
      </w:pPr>
      <w:r>
        <w:rPr>
          <w:rFonts w:hint="eastAsia" w:eastAsia="楷体_GB2312"/>
          <w:szCs w:val="32"/>
        </w:rPr>
        <w:t>（四）</w:t>
      </w:r>
      <w:r>
        <w:rPr>
          <w:rFonts w:eastAsia="楷体_GB2312"/>
          <w:szCs w:val="32"/>
        </w:rPr>
        <w:t>政务公开工作创新情况</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在微信公众号“高青县统计局”发布工作动态，开设互动留言、督查栏目，拓宽了社会公众的监督渠道，并且以图片、文字等通俗易懂的形式及时对社会公众呈现最新的工作动态。</w:t>
      </w:r>
    </w:p>
    <w:p>
      <w:pPr>
        <w:spacing w:line="560" w:lineRule="exact"/>
        <w:ind w:firstLine="640" w:firstLineChars="200"/>
        <w:rPr>
          <w:rFonts w:eastAsia="楷体_GB2312"/>
          <w:szCs w:val="32"/>
        </w:rPr>
      </w:pPr>
      <w:r>
        <w:rPr>
          <w:rFonts w:eastAsia="楷体_GB2312"/>
          <w:szCs w:val="32"/>
        </w:rPr>
        <w:t>（五）有关数据统计说明</w:t>
      </w:r>
    </w:p>
    <w:p>
      <w:pPr>
        <w:spacing w:line="560" w:lineRule="exact"/>
        <w:ind w:firstLine="640" w:firstLineChars="200"/>
        <w:rPr>
          <w:rFonts w:eastAsia="仿宋_GB2312"/>
          <w:szCs w:val="32"/>
        </w:rPr>
      </w:pPr>
      <w:r>
        <w:rPr>
          <w:rFonts w:eastAsia="仿宋_GB2312"/>
          <w:szCs w:val="32"/>
        </w:rPr>
        <w:t>报告中所列数据可能因四舍五入原因与数据直接相加之和存在尾数差异。</w:t>
      </w:r>
    </w:p>
    <w:sectPr>
      <w:footerReference r:id="rId5" w:type="default"/>
      <w:pgSz w:w="11906" w:h="16838"/>
      <w:pgMar w:top="1984" w:right="1587" w:bottom="1701" w:left="1587" w:header="851" w:footer="1247" w:gutter="0"/>
      <w:cols w:space="0" w:num="1"/>
      <w:docGrid w:type="lines" w:linePitch="43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4</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BB792"/>
    <w:multiLevelType w:val="singleLevel"/>
    <w:tmpl w:val="486BB792"/>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19"/>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E0699"/>
    <w:rsid w:val="00115158"/>
    <w:rsid w:val="00142CCC"/>
    <w:rsid w:val="00562FB3"/>
    <w:rsid w:val="006F6128"/>
    <w:rsid w:val="006F6224"/>
    <w:rsid w:val="00755A24"/>
    <w:rsid w:val="00962170"/>
    <w:rsid w:val="00B83D9F"/>
    <w:rsid w:val="00CF43DB"/>
    <w:rsid w:val="00D02C8F"/>
    <w:rsid w:val="00F539E8"/>
    <w:rsid w:val="00FC1706"/>
    <w:rsid w:val="03D6115E"/>
    <w:rsid w:val="03F90AE6"/>
    <w:rsid w:val="04E44646"/>
    <w:rsid w:val="05C17E99"/>
    <w:rsid w:val="0677539F"/>
    <w:rsid w:val="073E499C"/>
    <w:rsid w:val="07F41CF0"/>
    <w:rsid w:val="0A7E0699"/>
    <w:rsid w:val="0AF241AB"/>
    <w:rsid w:val="0BF26A5A"/>
    <w:rsid w:val="12357CED"/>
    <w:rsid w:val="124E024F"/>
    <w:rsid w:val="132070AA"/>
    <w:rsid w:val="16207E7C"/>
    <w:rsid w:val="17597AF6"/>
    <w:rsid w:val="179B6B45"/>
    <w:rsid w:val="1CA813ED"/>
    <w:rsid w:val="1DE765A7"/>
    <w:rsid w:val="1DEC1541"/>
    <w:rsid w:val="22163203"/>
    <w:rsid w:val="22ED01F0"/>
    <w:rsid w:val="24726381"/>
    <w:rsid w:val="272D57DE"/>
    <w:rsid w:val="27946588"/>
    <w:rsid w:val="27BA21B7"/>
    <w:rsid w:val="2888695F"/>
    <w:rsid w:val="29EC2A52"/>
    <w:rsid w:val="2EB92C47"/>
    <w:rsid w:val="30845DCE"/>
    <w:rsid w:val="33F751CC"/>
    <w:rsid w:val="35297B4B"/>
    <w:rsid w:val="354E43E4"/>
    <w:rsid w:val="356814A4"/>
    <w:rsid w:val="39021308"/>
    <w:rsid w:val="3AD32864"/>
    <w:rsid w:val="3C867D46"/>
    <w:rsid w:val="408700F6"/>
    <w:rsid w:val="411A73CB"/>
    <w:rsid w:val="416803E6"/>
    <w:rsid w:val="41BE244C"/>
    <w:rsid w:val="42424E2B"/>
    <w:rsid w:val="432E4F25"/>
    <w:rsid w:val="43996CCD"/>
    <w:rsid w:val="485A36E9"/>
    <w:rsid w:val="48FE641B"/>
    <w:rsid w:val="48FF75D2"/>
    <w:rsid w:val="4D423F31"/>
    <w:rsid w:val="4E255E4C"/>
    <w:rsid w:val="528F7C18"/>
    <w:rsid w:val="529B60ED"/>
    <w:rsid w:val="5574290E"/>
    <w:rsid w:val="5B164675"/>
    <w:rsid w:val="5DD0497B"/>
    <w:rsid w:val="5DE84827"/>
    <w:rsid w:val="5EF13A09"/>
    <w:rsid w:val="6204231A"/>
    <w:rsid w:val="62187A7A"/>
    <w:rsid w:val="63421E64"/>
    <w:rsid w:val="63EB6C79"/>
    <w:rsid w:val="66146ABC"/>
    <w:rsid w:val="663B7B96"/>
    <w:rsid w:val="6CF77DA4"/>
    <w:rsid w:val="6D4B09D4"/>
    <w:rsid w:val="6E774C55"/>
    <w:rsid w:val="6EC151A6"/>
    <w:rsid w:val="6EE33B4B"/>
    <w:rsid w:val="6F1A48B6"/>
    <w:rsid w:val="702C3BD9"/>
    <w:rsid w:val="7254168E"/>
    <w:rsid w:val="772139EB"/>
    <w:rsid w:val="79466FFF"/>
    <w:rsid w:val="79DE7812"/>
    <w:rsid w:val="7A927044"/>
    <w:rsid w:val="7C17769E"/>
    <w:rsid w:val="7CDB7DBC"/>
    <w:rsid w:val="7D11554A"/>
    <w:rsid w:val="7E36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alloon Text"/>
    <w:basedOn w:val="1"/>
    <w:link w:val="12"/>
    <w:uiPriority w:val="0"/>
    <w:pPr>
      <w:spacing w:line="240" w:lineRule="auto"/>
    </w:pPr>
    <w:rPr>
      <w:sz w:val="18"/>
      <w:szCs w:val="18"/>
    </w:rPr>
  </w:style>
  <w:style w:type="paragraph" w:styleId="4">
    <w:name w:val="footer"/>
    <w:basedOn w:val="1"/>
    <w:qFormat/>
    <w:uiPriority w:val="0"/>
    <w:pPr>
      <w:tabs>
        <w:tab w:val="center" w:pos="4153"/>
        <w:tab w:val="right" w:pos="8306"/>
      </w:tabs>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6">
    <w:name w:val="Normal (Web)"/>
    <w:basedOn w:val="1"/>
    <w:qFormat/>
    <w:uiPriority w:val="0"/>
    <w:pPr>
      <w:spacing w:beforeAutospacing="1" w:afterAutospacing="1"/>
      <w:jc w:val="left"/>
    </w:pPr>
    <w:rPr>
      <w:sz w:val="24"/>
    </w:rPr>
  </w:style>
  <w:style w:type="paragraph" w:styleId="7">
    <w:name w:val="annotation subject"/>
    <w:basedOn w:val="2"/>
    <w:next w:val="2"/>
    <w:link w:val="15"/>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uiPriority w:val="0"/>
    <w:rPr>
      <w:sz w:val="21"/>
      <w:szCs w:val="21"/>
    </w:rPr>
  </w:style>
  <w:style w:type="character" w:customStyle="1" w:styleId="12">
    <w:name w:val="批注框文本 Char"/>
    <w:basedOn w:val="10"/>
    <w:link w:val="3"/>
    <w:uiPriority w:val="0"/>
    <w:rPr>
      <w:rFonts w:eastAsia="方正仿宋_GBK"/>
      <w:snapToGrid w:val="0"/>
      <w:sz w:val="18"/>
      <w:szCs w:val="18"/>
    </w:rPr>
  </w:style>
  <w:style w:type="paragraph" w:styleId="13">
    <w:name w:val="List Paragraph"/>
    <w:basedOn w:val="1"/>
    <w:unhideWhenUsed/>
    <w:uiPriority w:val="99"/>
    <w:pPr>
      <w:ind w:firstLine="420" w:firstLineChars="200"/>
    </w:pPr>
  </w:style>
  <w:style w:type="character" w:customStyle="1" w:styleId="14">
    <w:name w:val="批注文字 Char"/>
    <w:basedOn w:val="10"/>
    <w:link w:val="2"/>
    <w:uiPriority w:val="0"/>
    <w:rPr>
      <w:rFonts w:eastAsia="方正仿宋_GBK"/>
      <w:snapToGrid w:val="0"/>
      <w:sz w:val="32"/>
    </w:rPr>
  </w:style>
  <w:style w:type="character" w:customStyle="1" w:styleId="15">
    <w:name w:val="批注主题 Char"/>
    <w:basedOn w:val="14"/>
    <w:link w:val="7"/>
    <w:uiPriority w:val="0"/>
    <w:rPr>
      <w:rFonts w:eastAsia="方正仿宋_GBK"/>
      <w:b/>
      <w:bCs/>
      <w:snapToGrid w:val="0"/>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高青县统计局</Company>
  <Pages>9</Pages>
  <Words>512</Words>
  <Characters>2922</Characters>
  <Lines>24</Lines>
  <Paragraphs>6</Paragraphs>
  <TotalTime>231</TotalTime>
  <ScaleCrop>false</ScaleCrop>
  <LinksUpToDate>false</LinksUpToDate>
  <CharactersWithSpaces>3428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2022-01-05T01:08:00Z</dcterms:created>
  <dc:creator>小蚊子</dc:creator>
  <cp:lastModifiedBy>Administrator</cp:lastModifiedBy>
  <dcterms:modified xsi:type="dcterms:W3CDTF">2022-01-24T02:29:56Z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87525FE9EEF34A90B147CBF9B66EC2F9</vt:lpwstr>
  </property>
</Properties>
</file>