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48130">
      <w:pPr>
        <w:spacing w:line="560" w:lineRule="exact"/>
        <w:ind w:firstLine="0"/>
        <w:rPr>
          <w:rFonts w:eastAsia="方正小标宋简体"/>
          <w:sz w:val="44"/>
          <w:szCs w:val="44"/>
        </w:rPr>
      </w:pPr>
    </w:p>
    <w:p w14:paraId="0C1CB807">
      <w:pPr>
        <w:spacing w:line="560" w:lineRule="exact"/>
        <w:ind w:firstLine="0"/>
        <w:jc w:val="center"/>
        <w:rPr>
          <w:rFonts w:eastAsia="方正小标宋简体"/>
          <w:sz w:val="44"/>
          <w:szCs w:val="44"/>
        </w:rPr>
      </w:pPr>
      <w:r>
        <w:rPr>
          <w:rFonts w:eastAsia="方正小标宋简体"/>
          <w:sz w:val="44"/>
          <w:szCs w:val="44"/>
        </w:rPr>
        <w:t>高青县退役军人事务局</w:t>
      </w:r>
    </w:p>
    <w:p w14:paraId="44CC90C0">
      <w:pPr>
        <w:spacing w:line="560" w:lineRule="exact"/>
        <w:ind w:firstLine="0"/>
        <w:jc w:val="center"/>
        <w:rPr>
          <w:rFonts w:eastAsia="方正小标宋简体"/>
          <w:sz w:val="44"/>
          <w:szCs w:val="44"/>
        </w:rPr>
      </w:pPr>
      <w:r>
        <w:rPr>
          <w:rFonts w:eastAsia="方正小标宋简体"/>
          <w:sz w:val="44"/>
          <w:szCs w:val="44"/>
        </w:rPr>
        <w:t>2025年政府信息公开工作年度报告</w:t>
      </w:r>
    </w:p>
    <w:p w14:paraId="76D9F608">
      <w:pPr>
        <w:spacing w:line="560" w:lineRule="exact"/>
        <w:ind w:firstLine="640" w:firstLineChars="200"/>
        <w:rPr>
          <w:rFonts w:eastAsia="仿宋_GB2312"/>
        </w:rPr>
      </w:pPr>
    </w:p>
    <w:p w14:paraId="22C07A68">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4D24B807">
      <w:pPr>
        <w:spacing w:line="560" w:lineRule="exact"/>
        <w:ind w:firstLine="640" w:firstLineChars="200"/>
        <w:rPr>
          <w:rFonts w:eastAsia="仿宋_GB2312"/>
        </w:rPr>
      </w:pPr>
      <w:r>
        <w:rPr>
          <w:rFonts w:eastAsia="仿宋_GB2312"/>
        </w:rPr>
        <w:t>报告中所列数据统计期限自2025年1月1日始，至2025年12月31日止。报告电子版可在高青县人民政府门户网站（www.gaoqing.gov.cn）查阅和下载。如对报告内容有疑问，请与高青县退役军人事务局办公室联系（地址：山东省淄博市高青县高苑路16号；邮编：256300；电话：0533-6965276；传真：0533-6965276；邮箱：gqxtyjrswj@zb.shandong.cn）。</w:t>
      </w:r>
    </w:p>
    <w:p w14:paraId="14B4D2FE">
      <w:pPr>
        <w:spacing w:line="560" w:lineRule="exact"/>
        <w:ind w:firstLine="640" w:firstLineChars="200"/>
        <w:rPr>
          <w:rFonts w:eastAsia="黑体"/>
          <w:szCs w:val="32"/>
        </w:rPr>
      </w:pPr>
      <w:r>
        <w:rPr>
          <w:rFonts w:eastAsia="黑体"/>
          <w:szCs w:val="32"/>
        </w:rPr>
        <w:t>一、总体情况</w:t>
      </w:r>
    </w:p>
    <w:p w14:paraId="780F03B5">
      <w:pPr>
        <w:spacing w:line="560" w:lineRule="exact"/>
        <w:ind w:firstLine="640" w:firstLineChars="200"/>
        <w:rPr>
          <w:rFonts w:eastAsia="仿宋_GB2312"/>
          <w:szCs w:val="32"/>
        </w:rPr>
      </w:pPr>
      <w:r>
        <w:rPr>
          <w:rFonts w:eastAsia="仿宋_GB2312"/>
          <w:szCs w:val="32"/>
        </w:rPr>
        <w:t>2025年，高青县退役军人事务局坚持以习近平新时代中国特色社会主义思想为指导，坚决贯彻落实《条例》规定和省、市、县年度政务公开工作要点有关要求，将政务公开深度融入服务保障全过程</w:t>
      </w:r>
      <w:r>
        <w:rPr>
          <w:rFonts w:hint="eastAsia" w:eastAsia="仿宋_GB2312"/>
          <w:szCs w:val="32"/>
        </w:rPr>
        <w:t>，切实提升退役军人政策知晓度和服务满意度。</w:t>
      </w:r>
    </w:p>
    <w:p w14:paraId="730E21C0">
      <w:pPr>
        <w:spacing w:line="560" w:lineRule="exact"/>
        <w:jc w:val="left"/>
        <w:rPr>
          <w:rFonts w:eastAsia="楷体_GB2312"/>
        </w:rPr>
      </w:pPr>
      <w:r>
        <w:rPr>
          <w:rFonts w:eastAsia="楷体_GB2312"/>
        </w:rPr>
        <w:t>（一）主动公开</w:t>
      </w:r>
    </w:p>
    <w:p w14:paraId="0031AB47">
      <w:pPr>
        <w:spacing w:line="560" w:lineRule="exact"/>
        <w:ind w:firstLine="640" w:firstLineChars="200"/>
        <w:rPr>
          <w:rFonts w:hint="eastAsia" w:eastAsia="楷体_GB2312"/>
          <w:szCs w:val="32"/>
          <w:lang w:eastAsia="zh-CN"/>
        </w:rPr>
      </w:pPr>
      <w:r>
        <w:rPr>
          <w:rFonts w:eastAsia="仿宋_GB2312"/>
          <w:szCs w:val="32"/>
        </w:rPr>
        <w:t>2025年，县退役军人局制定了《高青县退役军人事务局政务公开工作方案》，明确信息公开的常规要求，建立“政策出台—宣传解读—服务落地—反馈评价”的全链条公开联动机制。2025年</w:t>
      </w:r>
      <w:r>
        <w:rPr>
          <w:rFonts w:hint="eastAsia" w:eastAsia="仿宋_GB2312"/>
          <w:szCs w:val="32"/>
        </w:rPr>
        <w:t>累计</w:t>
      </w:r>
      <w:r>
        <w:rPr>
          <w:rFonts w:eastAsia="仿宋_GB2312"/>
          <w:szCs w:val="32"/>
        </w:rPr>
        <w:t>公开各类信息</w:t>
      </w:r>
      <w:r>
        <w:rPr>
          <w:rFonts w:hint="eastAsia" w:eastAsia="仿宋_GB2312"/>
          <w:szCs w:val="32"/>
        </w:rPr>
        <w:t>1</w:t>
      </w:r>
      <w:r>
        <w:rPr>
          <w:rFonts w:eastAsia="仿宋_GB2312"/>
          <w:szCs w:val="32"/>
        </w:rPr>
        <w:t>58条，较2024年减少</w:t>
      </w:r>
      <w:r>
        <w:rPr>
          <w:rFonts w:hint="eastAsia" w:eastAsia="仿宋_GB2312"/>
          <w:szCs w:val="32"/>
        </w:rPr>
        <w:t>9</w:t>
      </w:r>
      <w:r>
        <w:rPr>
          <w:rFonts w:eastAsia="仿宋_GB2312"/>
          <w:szCs w:val="32"/>
        </w:rPr>
        <w:t>条。政府信箱群众留言答复率实现100%，12345市民热线回复率达到100%、办结率达到100%，满意率实现100%。针对退役军人关心的优待证拓展应用、创业贷款贴息、学历提升补助等政策，邀请业务骨干或成功创业的退役军人代表，通过“红色大讲堂”宣讲，用朴实语言讲述“政策怎么用、实惠怎么得”。</w:t>
      </w:r>
    </w:p>
    <w:p w14:paraId="0C848542">
      <w:pPr>
        <w:spacing w:line="560" w:lineRule="exact"/>
        <w:jc w:val="left"/>
        <w:rPr>
          <w:rFonts w:eastAsia="楷体_GB2312"/>
        </w:rPr>
      </w:pPr>
      <w:r>
        <w:rPr>
          <w:rFonts w:hint="eastAsia" w:eastAsia="楷体_GB2312"/>
          <w:szCs w:val="32"/>
          <w:lang w:eastAsia="zh-CN"/>
        </w:rPr>
        <w:drawing>
          <wp:anchor distT="0" distB="0" distL="114300" distR="114300" simplePos="0" relativeHeight="251659264" behindDoc="0" locked="0" layoutInCell="1" allowOverlap="1">
            <wp:simplePos x="0" y="0"/>
            <wp:positionH relativeFrom="column">
              <wp:posOffset>262255</wp:posOffset>
            </wp:positionH>
            <wp:positionV relativeFrom="paragraph">
              <wp:posOffset>41275</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eastAsia="楷体_GB2312"/>
        </w:rPr>
        <w:t>（二）依申请公开</w:t>
      </w:r>
      <w:bookmarkStart w:id="0" w:name="_GoBack"/>
      <w:bookmarkEnd w:id="0"/>
    </w:p>
    <w:p w14:paraId="52F8ECE0">
      <w:pPr>
        <w:spacing w:line="560" w:lineRule="exact"/>
        <w:ind w:firstLine="640" w:firstLineChars="200"/>
        <w:jc w:val="both"/>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在县退役军人服务中心设立专门受理窗口，提供申请表格填写辅导，并明确告知权利义务。2025年未收到政府信息公开申请。依申请公开政府信息未收取任何费用。未因政府信息公开被申请行政复议、提起行政诉讼。</w:t>
      </w:r>
    </w:p>
    <w:p w14:paraId="32A4228F">
      <w:pPr>
        <w:spacing w:line="560" w:lineRule="exact"/>
        <w:jc w:val="both"/>
        <w:rPr>
          <w:rFonts w:eastAsia="楷体_GB2312"/>
        </w:rPr>
      </w:pPr>
      <w:r>
        <w:rPr>
          <w:rFonts w:eastAsia="楷体_GB2312"/>
        </w:rPr>
        <w:t>（三）政府信息管理</w:t>
      </w:r>
    </w:p>
    <w:p w14:paraId="5DCEA6A8">
      <w:pPr>
        <w:spacing w:line="560" w:lineRule="exact"/>
        <w:jc w:val="both"/>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根据</w:t>
      </w:r>
      <w:r>
        <w:rPr>
          <w:rFonts w:hint="eastAsia" w:eastAsia="仿宋_GB2312"/>
          <w:color w:val="000000" w:themeColor="text1"/>
          <w:szCs w:val="32"/>
          <w14:textFill>
            <w14:solidFill>
              <w14:schemeClr w14:val="tx1"/>
            </w14:solidFill>
          </w14:textFill>
        </w:rPr>
        <w:t>法律</w:t>
      </w:r>
      <w:r>
        <w:rPr>
          <w:rFonts w:eastAsia="仿宋_GB2312"/>
          <w:color w:val="000000" w:themeColor="text1"/>
          <w:szCs w:val="32"/>
          <w14:textFill>
            <w14:solidFill>
              <w14:schemeClr w14:val="tx1"/>
            </w14:solidFill>
          </w14:textFill>
        </w:rPr>
        <w:t>法规</w:t>
      </w:r>
      <w:r>
        <w:rPr>
          <w:rFonts w:hint="eastAsia" w:eastAsia="仿宋_GB2312"/>
          <w:color w:val="000000" w:themeColor="text1"/>
          <w:szCs w:val="32"/>
          <w14:textFill>
            <w14:solidFill>
              <w14:schemeClr w14:val="tx1"/>
            </w14:solidFill>
          </w14:textFill>
        </w:rPr>
        <w:t>的废止和生效，</w:t>
      </w:r>
      <w:r>
        <w:rPr>
          <w:rFonts w:eastAsia="仿宋_GB2312"/>
          <w:color w:val="000000" w:themeColor="text1"/>
          <w:szCs w:val="32"/>
          <w14:textFill>
            <w14:solidFill>
              <w14:schemeClr w14:val="tx1"/>
            </w14:solidFill>
          </w14:textFill>
        </w:rPr>
        <w:t>及时修订《</w:t>
      </w:r>
      <w:r>
        <w:rPr>
          <w:rFonts w:hint="eastAsia" w:eastAsia="仿宋_GB2312"/>
          <w:color w:val="000000" w:themeColor="text1"/>
          <w:szCs w:val="32"/>
          <w14:textFill>
            <w14:solidFill>
              <w14:schemeClr w14:val="tx1"/>
            </w14:solidFill>
          </w14:textFill>
        </w:rPr>
        <w:t>主动</w:t>
      </w:r>
      <w:r>
        <w:rPr>
          <w:rFonts w:eastAsia="仿宋_GB2312"/>
          <w:color w:val="000000" w:themeColor="text1"/>
          <w:szCs w:val="32"/>
          <w14:textFill>
            <w14:solidFill>
              <w14:schemeClr w14:val="tx1"/>
            </w14:solidFill>
          </w14:textFill>
        </w:rPr>
        <w:t>公开事项</w:t>
      </w:r>
      <w:r>
        <w:rPr>
          <w:rFonts w:hint="eastAsia" w:eastAsia="仿宋_GB2312"/>
          <w:color w:val="000000" w:themeColor="text1"/>
          <w:szCs w:val="32"/>
          <w14:textFill>
            <w14:solidFill>
              <w14:schemeClr w14:val="tx1"/>
            </w14:solidFill>
          </w14:textFill>
        </w:rPr>
        <w:t>目录</w:t>
      </w:r>
      <w:r>
        <w:rPr>
          <w:rFonts w:eastAsia="仿宋_GB2312"/>
          <w:color w:val="000000" w:themeColor="text1"/>
          <w:szCs w:val="32"/>
          <w14:textFill>
            <w14:solidFill>
              <w14:schemeClr w14:val="tx1"/>
            </w14:solidFill>
          </w14:textFill>
        </w:rPr>
        <w:t>》确保</w:t>
      </w:r>
      <w:r>
        <w:rPr>
          <w:rFonts w:hint="eastAsia" w:eastAsia="仿宋_GB2312"/>
          <w:color w:val="000000" w:themeColor="text1"/>
          <w:szCs w:val="32"/>
          <w14:textFill>
            <w14:solidFill>
              <w14:schemeClr w14:val="tx1"/>
            </w14:solidFill>
          </w14:textFill>
        </w:rPr>
        <w:t>信息准确</w:t>
      </w:r>
      <w:r>
        <w:rPr>
          <w:rFonts w:eastAsia="仿宋_GB2312"/>
          <w:color w:val="000000" w:themeColor="text1"/>
          <w:szCs w:val="32"/>
          <w14:textFill>
            <w14:solidFill>
              <w14:schemeClr w14:val="tx1"/>
            </w14:solidFill>
          </w14:textFill>
        </w:rPr>
        <w:t>。坚持每季度对门户网站、公开平台的所有信息进行动态监测和定期检查。完善保密审查流程</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特别</w:t>
      </w:r>
      <w:r>
        <w:rPr>
          <w:rFonts w:hint="eastAsia" w:eastAsia="仿宋_GB2312"/>
          <w:color w:val="000000" w:themeColor="text1"/>
          <w:szCs w:val="32"/>
          <w14:textFill>
            <w14:solidFill>
              <w14:schemeClr w14:val="tx1"/>
            </w14:solidFill>
          </w14:textFill>
        </w:rPr>
        <w:t>是</w:t>
      </w:r>
      <w:r>
        <w:rPr>
          <w:rFonts w:eastAsia="仿宋_GB2312"/>
          <w:color w:val="000000" w:themeColor="text1"/>
          <w:szCs w:val="32"/>
          <w14:textFill>
            <w14:solidFill>
              <w14:schemeClr w14:val="tx1"/>
            </w14:solidFill>
          </w14:textFill>
        </w:rPr>
        <w:t>退役军人工作中涉及的敏感个人信息、安置情况、内部工作部署等内容，制定审慎的鉴别标准和处理规范，确保国家秘密、工作秘密和个人隐私安全，做到“该公开的全部公开，该保护的有效保护”。</w:t>
      </w:r>
    </w:p>
    <w:p w14:paraId="5BDC6BA6">
      <w:pPr>
        <w:spacing w:line="560" w:lineRule="exact"/>
        <w:jc w:val="both"/>
        <w:rPr>
          <w:rFonts w:eastAsia="楷体_GB2312"/>
        </w:rPr>
      </w:pPr>
      <w:r>
        <w:rPr>
          <w:rFonts w:eastAsia="楷体_GB2312"/>
        </w:rPr>
        <w:t>（四）政府信息公开平台建设</w:t>
      </w:r>
    </w:p>
    <w:p w14:paraId="321A995F">
      <w:pPr>
        <w:spacing w:line="560" w:lineRule="exact"/>
        <w:jc w:val="both"/>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在政府网站新开设“政府开放活动”频道。</w:t>
      </w:r>
      <w:r>
        <w:rPr>
          <w:rFonts w:eastAsia="仿宋_GB2312"/>
          <w:color w:val="000000" w:themeColor="text1"/>
          <w:szCs w:val="32"/>
          <w14:textFill>
            <w14:solidFill>
              <w14:schemeClr w14:val="tx1"/>
            </w14:solidFill>
          </w14:textFill>
        </w:rPr>
        <w:t>“高青退役军人”微信公众号已按要求注销，未保留其他账号。</w:t>
      </w:r>
    </w:p>
    <w:p w14:paraId="417A91BA">
      <w:pPr>
        <w:spacing w:line="560" w:lineRule="exact"/>
        <w:jc w:val="both"/>
        <w:rPr>
          <w:rFonts w:eastAsia="楷体_GB2312"/>
        </w:rPr>
      </w:pPr>
      <w:r>
        <w:rPr>
          <w:rFonts w:eastAsia="楷体_GB2312"/>
        </w:rPr>
        <w:t>（五）监督保障</w:t>
      </w:r>
    </w:p>
    <w:p w14:paraId="16355999">
      <w:pPr>
        <w:spacing w:line="560" w:lineRule="exact"/>
        <w:jc w:val="both"/>
        <w:rPr>
          <w:rFonts w:eastAsia="黑体"/>
          <w:szCs w:val="32"/>
        </w:rPr>
      </w:pPr>
      <w:r>
        <w:rPr>
          <w:rFonts w:eastAsia="仿宋_GB2312"/>
          <w:color w:val="000000" w:themeColor="text1"/>
          <w:szCs w:val="32"/>
          <w14:textFill>
            <w14:solidFill>
              <w14:schemeClr w14:val="tx1"/>
            </w14:solidFill>
          </w14:textFill>
        </w:rPr>
        <w:t>将政务公开工作纳入年度重点工作进行部署和考核。主要领导定期听取专项汇报，对重大公开事项亲自过问，办公室承担日常统筹协调、指导推进和监督检查职责，并配备政治素质高、业务能力强的专职干部</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负责信息的梳理、报送和解读，确保公开责任落实到每个环节。</w:t>
      </w:r>
      <w:r>
        <w:rPr>
          <w:rFonts w:hint="eastAsia" w:eastAsia="仿宋_GB2312"/>
          <w:color w:val="000000" w:themeColor="text1"/>
          <w:szCs w:val="32"/>
          <w14:textFill>
            <w14:solidFill>
              <w14:schemeClr w14:val="tx1"/>
            </w14:solidFill>
          </w14:textFill>
        </w:rPr>
        <w:t>全年</w:t>
      </w:r>
      <w:r>
        <w:rPr>
          <w:rFonts w:eastAsia="仿宋_GB2312"/>
          <w:color w:val="000000" w:themeColor="text1"/>
          <w:szCs w:val="32"/>
          <w14:textFill>
            <w14:solidFill>
              <w14:schemeClr w14:val="tx1"/>
            </w14:solidFill>
          </w14:textFill>
        </w:rPr>
        <w:t>组织覆盖全</w:t>
      </w:r>
      <w:r>
        <w:rPr>
          <w:rFonts w:hint="eastAsia" w:eastAsia="仿宋_GB2312"/>
          <w:color w:val="000000" w:themeColor="text1"/>
          <w:szCs w:val="32"/>
          <w14:textFill>
            <w14:solidFill>
              <w14:schemeClr w14:val="tx1"/>
            </w14:solidFill>
          </w14:textFill>
        </w:rPr>
        <w:t>体工作人员</w:t>
      </w:r>
      <w:r>
        <w:rPr>
          <w:rFonts w:eastAsia="仿宋_GB2312"/>
          <w:color w:val="000000" w:themeColor="text1"/>
          <w:szCs w:val="32"/>
          <w14:textFill>
            <w14:solidFill>
              <w14:schemeClr w14:val="tx1"/>
            </w14:solidFill>
          </w14:textFill>
        </w:rPr>
        <w:t>的专题培训4次，内容包括法律法规</w:t>
      </w:r>
      <w:r>
        <w:rPr>
          <w:rFonts w:hint="eastAsia" w:eastAsia="仿宋_GB2312"/>
          <w:color w:val="000000" w:themeColor="text1"/>
          <w:szCs w:val="32"/>
          <w14:textFill>
            <w14:solidFill>
              <w14:schemeClr w14:val="tx1"/>
            </w14:solidFill>
          </w14:textFill>
        </w:rPr>
        <w:t>、政策解读、依申请办理等，</w:t>
      </w:r>
      <w:r>
        <w:rPr>
          <w:rFonts w:eastAsia="仿宋_GB2312"/>
          <w:color w:val="000000" w:themeColor="text1"/>
          <w:szCs w:val="32"/>
          <w14:textFill>
            <w14:solidFill>
              <w14:schemeClr w14:val="tx1"/>
            </w14:solidFill>
          </w14:textFill>
        </w:rPr>
        <w:t>有效提升工作人员的公开意识、回应能力和服务水平</w:t>
      </w:r>
    </w:p>
    <w:p w14:paraId="152B4C1C">
      <w:pPr>
        <w:spacing w:after="156" w:afterLines="50" w:line="560" w:lineRule="exact"/>
        <w:ind w:firstLine="640" w:firstLineChars="200"/>
        <w:rPr>
          <w:rFonts w:eastAsia="黑体"/>
          <w:szCs w:val="32"/>
        </w:rPr>
      </w:pPr>
    </w:p>
    <w:p w14:paraId="319B85A5">
      <w:pPr>
        <w:spacing w:after="156" w:afterLines="50" w:line="560" w:lineRule="exact"/>
        <w:ind w:firstLine="640" w:firstLineChars="200"/>
        <w:rPr>
          <w:rFonts w:eastAsia="黑体"/>
          <w:szCs w:val="32"/>
        </w:rPr>
      </w:pPr>
    </w:p>
    <w:p w14:paraId="19FB28BB">
      <w:pPr>
        <w:spacing w:after="156" w:afterLines="50" w:line="560" w:lineRule="exact"/>
        <w:ind w:left="0" w:leftChars="0" w:firstLine="0" w:firstLineChars="0"/>
        <w:rPr>
          <w:rFonts w:eastAsia="黑体"/>
          <w:szCs w:val="32"/>
        </w:rPr>
      </w:pPr>
    </w:p>
    <w:p w14:paraId="17BB11EF">
      <w:pPr>
        <w:spacing w:after="156" w:afterLines="50" w:line="560" w:lineRule="exact"/>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1DCB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EABBF02">
            <w:pPr>
              <w:spacing w:line="560" w:lineRule="exact"/>
              <w:ind w:firstLine="0"/>
              <w:jc w:val="center"/>
              <w:rPr>
                <w:rFonts w:eastAsia="黑体"/>
                <w:sz w:val="20"/>
              </w:rPr>
            </w:pPr>
            <w:r>
              <w:rPr>
                <w:rFonts w:eastAsia="宋体"/>
                <w:snapToGrid/>
                <w:color w:val="000000"/>
                <w:sz w:val="20"/>
              </w:rPr>
              <w:t>第二十条第（一）项</w:t>
            </w:r>
          </w:p>
        </w:tc>
      </w:tr>
      <w:tr w14:paraId="061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A514D66">
            <w:pPr>
              <w:widowControl/>
              <w:autoSpaceDE/>
              <w:autoSpaceDN/>
              <w:snapToGrid/>
              <w:spacing w:line="560" w:lineRule="exact"/>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0C130F16">
            <w:pPr>
              <w:widowControl/>
              <w:autoSpaceDE/>
              <w:autoSpaceDN/>
              <w:snapToGrid/>
              <w:spacing w:line="560" w:lineRule="exact"/>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523667FA">
            <w:pPr>
              <w:widowControl/>
              <w:autoSpaceDE/>
              <w:autoSpaceDN/>
              <w:snapToGrid/>
              <w:spacing w:line="560" w:lineRule="exact"/>
              <w:ind w:firstLine="0"/>
              <w:jc w:val="center"/>
              <w:rPr>
                <w:rFonts w:eastAsia="宋体"/>
                <w:snapToGrid/>
                <w:sz w:val="20"/>
              </w:rPr>
            </w:pPr>
            <w:r>
              <w:rPr>
                <w:rFonts w:eastAsia="宋体"/>
                <w:snapToGrid/>
                <w:color w:val="000000"/>
                <w:sz w:val="20"/>
              </w:rPr>
              <w:t>本年废止件数</w:t>
            </w:r>
          </w:p>
        </w:tc>
        <w:tc>
          <w:tcPr>
            <w:tcW w:w="2131" w:type="dxa"/>
            <w:vAlign w:val="center"/>
          </w:tcPr>
          <w:p w14:paraId="0C3FC960">
            <w:pPr>
              <w:widowControl/>
              <w:autoSpaceDE/>
              <w:autoSpaceDN/>
              <w:snapToGrid/>
              <w:spacing w:line="560" w:lineRule="exact"/>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4D28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5D75B8F">
            <w:pPr>
              <w:widowControl/>
              <w:autoSpaceDE/>
              <w:autoSpaceDN/>
              <w:snapToGrid/>
              <w:spacing w:line="560" w:lineRule="exact"/>
              <w:ind w:firstLine="0"/>
              <w:rPr>
                <w:rFonts w:eastAsia="宋体"/>
                <w:snapToGrid/>
                <w:color w:val="000000"/>
                <w:sz w:val="20"/>
              </w:rPr>
            </w:pPr>
            <w:r>
              <w:rPr>
                <w:rFonts w:eastAsia="宋体"/>
                <w:snapToGrid/>
                <w:color w:val="000000"/>
                <w:sz w:val="20"/>
              </w:rPr>
              <w:t>规章</w:t>
            </w:r>
          </w:p>
        </w:tc>
        <w:tc>
          <w:tcPr>
            <w:tcW w:w="2130" w:type="dxa"/>
            <w:vAlign w:val="center"/>
          </w:tcPr>
          <w:p w14:paraId="51E04302">
            <w:pPr>
              <w:spacing w:line="560" w:lineRule="exact"/>
              <w:ind w:firstLine="0"/>
              <w:jc w:val="center"/>
              <w:rPr>
                <w:rFonts w:eastAsia="黑体"/>
                <w:sz w:val="20"/>
              </w:rPr>
            </w:pPr>
            <w:r>
              <w:rPr>
                <w:rFonts w:eastAsia="黑体"/>
                <w:sz w:val="20"/>
              </w:rPr>
              <w:t>0</w:t>
            </w:r>
          </w:p>
        </w:tc>
        <w:tc>
          <w:tcPr>
            <w:tcW w:w="2131" w:type="dxa"/>
            <w:vAlign w:val="center"/>
          </w:tcPr>
          <w:p w14:paraId="23777733">
            <w:pPr>
              <w:spacing w:line="560" w:lineRule="exact"/>
              <w:ind w:firstLine="0"/>
              <w:jc w:val="center"/>
              <w:rPr>
                <w:rFonts w:eastAsia="黑体"/>
                <w:sz w:val="20"/>
              </w:rPr>
            </w:pPr>
            <w:r>
              <w:rPr>
                <w:rFonts w:eastAsia="黑体"/>
                <w:sz w:val="20"/>
              </w:rPr>
              <w:t>0</w:t>
            </w:r>
          </w:p>
        </w:tc>
        <w:tc>
          <w:tcPr>
            <w:tcW w:w="2131" w:type="dxa"/>
            <w:vAlign w:val="center"/>
          </w:tcPr>
          <w:p w14:paraId="3924A057">
            <w:pPr>
              <w:spacing w:line="560" w:lineRule="exact"/>
              <w:ind w:firstLine="0"/>
              <w:jc w:val="center"/>
              <w:rPr>
                <w:rFonts w:eastAsia="黑体"/>
                <w:sz w:val="20"/>
              </w:rPr>
            </w:pPr>
            <w:r>
              <w:rPr>
                <w:rFonts w:eastAsia="黑体"/>
                <w:sz w:val="20"/>
              </w:rPr>
              <w:t>0</w:t>
            </w:r>
          </w:p>
        </w:tc>
      </w:tr>
      <w:tr w14:paraId="37C8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3C85633">
            <w:pPr>
              <w:widowControl/>
              <w:autoSpaceDE/>
              <w:autoSpaceDN/>
              <w:snapToGrid/>
              <w:spacing w:line="560" w:lineRule="exact"/>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079FA6B7">
            <w:pPr>
              <w:spacing w:line="560" w:lineRule="exact"/>
              <w:ind w:firstLine="0"/>
              <w:jc w:val="center"/>
              <w:rPr>
                <w:rFonts w:eastAsia="黑体"/>
                <w:sz w:val="20"/>
              </w:rPr>
            </w:pPr>
            <w:r>
              <w:rPr>
                <w:rFonts w:eastAsia="黑体"/>
                <w:sz w:val="20"/>
              </w:rPr>
              <w:t>0</w:t>
            </w:r>
          </w:p>
        </w:tc>
        <w:tc>
          <w:tcPr>
            <w:tcW w:w="2131" w:type="dxa"/>
            <w:vAlign w:val="center"/>
          </w:tcPr>
          <w:p w14:paraId="12CB7933">
            <w:pPr>
              <w:spacing w:line="560" w:lineRule="exact"/>
              <w:ind w:firstLine="0"/>
              <w:jc w:val="center"/>
              <w:rPr>
                <w:rFonts w:eastAsia="黑体"/>
                <w:sz w:val="20"/>
              </w:rPr>
            </w:pPr>
            <w:r>
              <w:rPr>
                <w:rFonts w:eastAsia="黑体"/>
                <w:sz w:val="20"/>
              </w:rPr>
              <w:t>0</w:t>
            </w:r>
          </w:p>
        </w:tc>
        <w:tc>
          <w:tcPr>
            <w:tcW w:w="2131" w:type="dxa"/>
            <w:vAlign w:val="center"/>
          </w:tcPr>
          <w:p w14:paraId="22F54E47">
            <w:pPr>
              <w:spacing w:line="560" w:lineRule="exact"/>
              <w:ind w:firstLine="0"/>
              <w:jc w:val="center"/>
              <w:rPr>
                <w:rFonts w:eastAsia="黑体"/>
                <w:sz w:val="20"/>
              </w:rPr>
            </w:pPr>
            <w:r>
              <w:rPr>
                <w:rFonts w:eastAsia="黑体"/>
                <w:sz w:val="20"/>
              </w:rPr>
              <w:t>0</w:t>
            </w:r>
          </w:p>
        </w:tc>
      </w:tr>
      <w:tr w14:paraId="6504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DB3C7CD">
            <w:pPr>
              <w:spacing w:line="560" w:lineRule="exact"/>
              <w:ind w:firstLine="0"/>
              <w:jc w:val="center"/>
              <w:rPr>
                <w:rFonts w:eastAsia="宋体"/>
                <w:snapToGrid/>
                <w:color w:val="000000"/>
                <w:sz w:val="20"/>
              </w:rPr>
            </w:pPr>
            <w:r>
              <w:rPr>
                <w:rFonts w:eastAsia="宋体"/>
                <w:snapToGrid/>
                <w:color w:val="000000"/>
                <w:sz w:val="20"/>
              </w:rPr>
              <w:t>第二十条第（五）项</w:t>
            </w:r>
          </w:p>
        </w:tc>
      </w:tr>
      <w:tr w14:paraId="5E3E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5E1E0CB">
            <w:pPr>
              <w:widowControl/>
              <w:autoSpaceDE/>
              <w:autoSpaceDN/>
              <w:snapToGrid/>
              <w:spacing w:line="560" w:lineRule="exact"/>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45796C57">
            <w:pPr>
              <w:spacing w:line="560" w:lineRule="exact"/>
              <w:ind w:firstLine="0"/>
              <w:jc w:val="center"/>
              <w:rPr>
                <w:rFonts w:eastAsia="黑体"/>
                <w:sz w:val="20"/>
              </w:rPr>
            </w:pPr>
            <w:r>
              <w:rPr>
                <w:rFonts w:eastAsia="宋体"/>
                <w:snapToGrid/>
                <w:color w:val="000000"/>
                <w:sz w:val="20"/>
              </w:rPr>
              <w:t>本年处理决定数量</w:t>
            </w:r>
          </w:p>
        </w:tc>
      </w:tr>
      <w:tr w14:paraId="1001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05D492F">
            <w:pPr>
              <w:widowControl/>
              <w:autoSpaceDE/>
              <w:autoSpaceDN/>
              <w:snapToGrid/>
              <w:spacing w:line="560" w:lineRule="exact"/>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65CD4C9D">
            <w:pPr>
              <w:spacing w:line="560" w:lineRule="exact"/>
              <w:ind w:firstLine="0"/>
              <w:jc w:val="center"/>
              <w:rPr>
                <w:rFonts w:eastAsia="黑体"/>
                <w:sz w:val="20"/>
              </w:rPr>
            </w:pPr>
            <w:r>
              <w:rPr>
                <w:rFonts w:eastAsia="黑体"/>
                <w:sz w:val="20"/>
              </w:rPr>
              <w:t>0</w:t>
            </w:r>
          </w:p>
        </w:tc>
      </w:tr>
      <w:tr w14:paraId="083E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558BC5B">
            <w:pPr>
              <w:spacing w:line="560" w:lineRule="exact"/>
              <w:ind w:firstLine="0"/>
              <w:jc w:val="center"/>
              <w:rPr>
                <w:rFonts w:eastAsia="宋体"/>
                <w:snapToGrid/>
                <w:color w:val="000000"/>
                <w:sz w:val="20"/>
              </w:rPr>
            </w:pPr>
            <w:r>
              <w:rPr>
                <w:rFonts w:eastAsia="宋体"/>
                <w:snapToGrid/>
                <w:color w:val="000000"/>
                <w:sz w:val="20"/>
              </w:rPr>
              <w:t>第二十条第（六）项</w:t>
            </w:r>
          </w:p>
        </w:tc>
      </w:tr>
      <w:tr w14:paraId="04D1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53BFB75">
            <w:pPr>
              <w:widowControl/>
              <w:autoSpaceDE/>
              <w:autoSpaceDN/>
              <w:snapToGrid/>
              <w:spacing w:line="560" w:lineRule="exact"/>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492AAA38">
            <w:pPr>
              <w:spacing w:line="560" w:lineRule="exact"/>
              <w:ind w:firstLine="0"/>
              <w:jc w:val="center"/>
              <w:rPr>
                <w:rFonts w:eastAsia="黑体"/>
                <w:sz w:val="20"/>
              </w:rPr>
            </w:pPr>
            <w:r>
              <w:rPr>
                <w:rFonts w:eastAsia="宋体"/>
                <w:snapToGrid/>
                <w:color w:val="000000"/>
                <w:sz w:val="20"/>
              </w:rPr>
              <w:t>本年处理决定数量</w:t>
            </w:r>
          </w:p>
        </w:tc>
      </w:tr>
      <w:tr w14:paraId="2C26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187F6AB">
            <w:pPr>
              <w:widowControl/>
              <w:autoSpaceDE/>
              <w:autoSpaceDN/>
              <w:snapToGrid/>
              <w:spacing w:line="560" w:lineRule="exact"/>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380ED5A3">
            <w:pPr>
              <w:spacing w:line="560" w:lineRule="exact"/>
              <w:ind w:firstLine="0"/>
              <w:jc w:val="center"/>
              <w:rPr>
                <w:rFonts w:eastAsia="黑体"/>
                <w:sz w:val="20"/>
              </w:rPr>
            </w:pPr>
            <w:r>
              <w:rPr>
                <w:rFonts w:eastAsia="黑体"/>
                <w:sz w:val="20"/>
              </w:rPr>
              <w:t>0</w:t>
            </w:r>
          </w:p>
        </w:tc>
      </w:tr>
      <w:tr w14:paraId="199C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2EFE869">
            <w:pPr>
              <w:widowControl/>
              <w:autoSpaceDE/>
              <w:autoSpaceDN/>
              <w:snapToGrid/>
              <w:spacing w:line="560" w:lineRule="exact"/>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28B3ED1F">
            <w:pPr>
              <w:spacing w:line="560" w:lineRule="exact"/>
              <w:ind w:firstLine="0"/>
              <w:jc w:val="center"/>
              <w:rPr>
                <w:rFonts w:eastAsia="黑体"/>
                <w:sz w:val="20"/>
              </w:rPr>
            </w:pPr>
            <w:r>
              <w:rPr>
                <w:rFonts w:eastAsia="黑体"/>
                <w:sz w:val="20"/>
              </w:rPr>
              <w:t>0</w:t>
            </w:r>
          </w:p>
        </w:tc>
      </w:tr>
      <w:tr w14:paraId="0808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48471A6">
            <w:pPr>
              <w:spacing w:line="560" w:lineRule="exact"/>
              <w:ind w:firstLine="0"/>
              <w:jc w:val="center"/>
              <w:rPr>
                <w:rFonts w:eastAsia="宋体"/>
                <w:snapToGrid/>
                <w:color w:val="000000"/>
                <w:sz w:val="20"/>
              </w:rPr>
            </w:pPr>
            <w:r>
              <w:rPr>
                <w:rFonts w:eastAsia="宋体"/>
                <w:snapToGrid/>
                <w:color w:val="000000"/>
                <w:sz w:val="20"/>
              </w:rPr>
              <w:t>第二十条第（八）项</w:t>
            </w:r>
          </w:p>
        </w:tc>
      </w:tr>
      <w:tr w14:paraId="0C0C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1E6DDF8">
            <w:pPr>
              <w:widowControl/>
              <w:autoSpaceDE/>
              <w:autoSpaceDN/>
              <w:snapToGrid/>
              <w:spacing w:line="560" w:lineRule="exact"/>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20DE5268">
            <w:pPr>
              <w:spacing w:line="560" w:lineRule="exact"/>
              <w:ind w:firstLine="0"/>
              <w:jc w:val="center"/>
              <w:rPr>
                <w:rFonts w:eastAsia="黑体"/>
                <w:sz w:val="20"/>
              </w:rPr>
            </w:pPr>
            <w:r>
              <w:rPr>
                <w:rFonts w:eastAsia="宋体"/>
                <w:snapToGrid/>
                <w:color w:val="000000"/>
                <w:sz w:val="20"/>
              </w:rPr>
              <w:t>本年收费金额（单位：万元）</w:t>
            </w:r>
          </w:p>
        </w:tc>
      </w:tr>
      <w:tr w14:paraId="480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690998B">
            <w:pPr>
              <w:widowControl/>
              <w:autoSpaceDE/>
              <w:autoSpaceDN/>
              <w:snapToGrid/>
              <w:spacing w:line="560" w:lineRule="exact"/>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345F5312">
            <w:pPr>
              <w:spacing w:line="560" w:lineRule="exact"/>
              <w:ind w:firstLine="0"/>
              <w:jc w:val="center"/>
              <w:rPr>
                <w:rFonts w:eastAsia="黑体"/>
                <w:sz w:val="20"/>
              </w:rPr>
            </w:pPr>
            <w:r>
              <w:rPr>
                <w:rFonts w:eastAsia="黑体"/>
                <w:sz w:val="20"/>
              </w:rPr>
              <w:t>0</w:t>
            </w:r>
          </w:p>
        </w:tc>
      </w:tr>
    </w:tbl>
    <w:p w14:paraId="2A43C670">
      <w:pPr>
        <w:spacing w:after="156" w:afterLines="50" w:line="560" w:lineRule="exact"/>
        <w:ind w:firstLine="640" w:firstLineChars="200"/>
        <w:rPr>
          <w:rFonts w:eastAsia="黑体"/>
          <w:szCs w:val="32"/>
        </w:rPr>
      </w:pPr>
    </w:p>
    <w:p w14:paraId="1C104DEA">
      <w:pPr>
        <w:spacing w:after="156" w:afterLines="50" w:line="560" w:lineRule="exact"/>
        <w:ind w:firstLine="640" w:firstLineChars="200"/>
        <w:rPr>
          <w:rFonts w:eastAsia="黑体"/>
          <w:szCs w:val="32"/>
        </w:rPr>
      </w:pPr>
    </w:p>
    <w:p w14:paraId="3FD634B8">
      <w:pPr>
        <w:spacing w:after="156" w:afterLines="50" w:line="560" w:lineRule="exact"/>
        <w:ind w:firstLine="640" w:firstLineChars="200"/>
        <w:rPr>
          <w:rFonts w:eastAsia="黑体"/>
          <w:szCs w:val="32"/>
        </w:rPr>
      </w:pPr>
    </w:p>
    <w:p w14:paraId="71B9AE36">
      <w:pPr>
        <w:spacing w:after="156" w:afterLines="50" w:line="560" w:lineRule="exact"/>
        <w:ind w:left="0" w:leftChars="0" w:firstLine="0" w:firstLineChars="0"/>
        <w:rPr>
          <w:rFonts w:eastAsia="黑体"/>
          <w:szCs w:val="32"/>
        </w:rPr>
      </w:pPr>
    </w:p>
    <w:p w14:paraId="7F4618A3">
      <w:pPr>
        <w:spacing w:after="156" w:afterLines="50" w:line="560" w:lineRule="exact"/>
        <w:ind w:firstLine="640" w:firstLineChars="200"/>
        <w:rPr>
          <w:rFonts w:eastAsia="黑体"/>
          <w:szCs w:val="32"/>
        </w:rPr>
      </w:pPr>
    </w:p>
    <w:p w14:paraId="072A43C1">
      <w:pPr>
        <w:spacing w:after="156" w:afterLines="50" w:line="240" w:lineRule="auto"/>
        <w:ind w:firstLine="640" w:firstLineChars="200"/>
        <w:rPr>
          <w:rFonts w:hint="default" w:ascii="Times New Roman" w:hAnsi="Times New Roman" w:eastAsia="黑体" w:cs="Times New Roman"/>
          <w:szCs w:val="32"/>
        </w:rPr>
      </w:pPr>
    </w:p>
    <w:p w14:paraId="69EF8C63">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827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636F7B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E5C5BE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21CA778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32747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17DB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BDF78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4CCAD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4B55D26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0D570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2E2D8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0855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E0C5D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69C6D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77EA0E8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FA92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A7BC4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758A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17128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5FFE9B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DF721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929C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856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876B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2EEBD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8DC9C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3B65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B184C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9EEAA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E4398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DE49B5">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E9400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45C3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89217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9894F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DFD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5FEC7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5140F7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63D60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AD3CC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E6FF9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5DA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8A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51F1C">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1ECDD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3A1130">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ED8D61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147A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6EF44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1D6F34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DE077">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9FE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1090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86D15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19847B">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02FD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4E857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5860F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1E1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7717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41E27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6BEA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3C0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908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BCF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D5B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0B5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3F91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C54A9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10AF8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6F3ED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CD86D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2A71E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73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D5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D8CB3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5746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0E12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8A62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A0E55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4355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3F6214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F3654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DBB2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95F8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39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1FAF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901E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D04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7FD3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B78BA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33BB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9A3149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7C86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5DCE2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C62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FD3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751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BAC8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3E41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CFA7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FFAAA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BFF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60C4C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0399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04723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A0D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770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7AE5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21AF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9C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20FF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31E31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92717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2ADA49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86DFD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F809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555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50F7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882C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801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8C5E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DD2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44B60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ECBA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A573D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9E3D7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10F1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AFFB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475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89EB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2E2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1FC7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DA23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555C5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915D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49C7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87342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B0A2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B0A4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CADA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6C9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8707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B3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D0125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E48CC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CA3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5EEC63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BEEC4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CA3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E009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1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1DDDF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C272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F3F6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9768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134D99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76B61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35603D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B62AC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2FB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98D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53A5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297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5A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88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5DEA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B672F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1EC9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F0334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B45B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E3E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BD2F4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6D85B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06B0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8CE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59327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4017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EAA4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15AA1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CBBE9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470E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732E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D02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0CB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1799E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36B2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46A8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6469C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4C5B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8EA0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C21080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0215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6508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8DA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9F17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CDB39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AF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D1E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F0947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A1884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4F02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1E0875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EAA17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CA95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4D0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A6B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8F17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ACB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1BA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5A21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579815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C448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94E2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0ABC1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8152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B3A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FE1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C993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2D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EE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4B9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4D97B7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B0A0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DF7C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FBADF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9E960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109FB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A492C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24B04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58765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88156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9E3DC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23D90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7D8E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D9713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3A5A2C9">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F2C4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1DC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949A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51F4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BCF1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43FE3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09BB8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658D75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35648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24319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5F472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FF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062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5F2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43F8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F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950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F0E9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7FC428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3B6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D132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F8D64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FD4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28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DC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216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82F8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6CBC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5CAE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ADD2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89FCD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AA97F2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6D54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2B5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8CC9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CDE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A017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C5B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93E6B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DF0A3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4ADC6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A3EF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D4ED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0DD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A8CB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6EE0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77D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161D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4E7D9725">
      <w:pPr>
        <w:spacing w:line="560" w:lineRule="exact"/>
        <w:ind w:firstLine="600" w:firstLineChars="200"/>
        <w:rPr>
          <w:rFonts w:eastAsia="黑体"/>
          <w:sz w:val="30"/>
          <w:szCs w:val="30"/>
        </w:rPr>
      </w:pPr>
    </w:p>
    <w:p w14:paraId="3BAC586F">
      <w:pPr>
        <w:spacing w:after="156" w:afterLines="50" w:line="560" w:lineRule="exact"/>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E4D9E9A">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C977C2">
            <w:pPr>
              <w:widowControl/>
              <w:autoSpaceDE/>
              <w:autoSpaceDN/>
              <w:snapToGrid/>
              <w:spacing w:line="560" w:lineRule="exact"/>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043ABA">
            <w:pPr>
              <w:widowControl/>
              <w:autoSpaceDE/>
              <w:autoSpaceDN/>
              <w:snapToGrid/>
              <w:spacing w:line="560" w:lineRule="exact"/>
              <w:ind w:firstLine="0"/>
              <w:jc w:val="center"/>
              <w:rPr>
                <w:rFonts w:eastAsia="宋体"/>
                <w:snapToGrid/>
                <w:sz w:val="24"/>
                <w:szCs w:val="24"/>
              </w:rPr>
            </w:pPr>
            <w:r>
              <w:rPr>
                <w:rFonts w:eastAsia="宋体"/>
                <w:snapToGrid/>
                <w:sz w:val="20"/>
              </w:rPr>
              <w:t>行政诉讼</w:t>
            </w:r>
          </w:p>
        </w:tc>
      </w:tr>
      <w:tr w14:paraId="66187E81">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CA5A27">
            <w:pPr>
              <w:widowControl/>
              <w:autoSpaceDE/>
              <w:autoSpaceDN/>
              <w:snapToGrid/>
              <w:spacing w:line="560" w:lineRule="exact"/>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F16CB4">
            <w:pPr>
              <w:widowControl/>
              <w:autoSpaceDE/>
              <w:autoSpaceDN/>
              <w:snapToGrid/>
              <w:spacing w:line="560" w:lineRule="exact"/>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E3E365">
            <w:pPr>
              <w:widowControl/>
              <w:autoSpaceDE/>
              <w:autoSpaceDN/>
              <w:snapToGrid/>
              <w:spacing w:line="560" w:lineRule="exact"/>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787C2">
            <w:pPr>
              <w:widowControl/>
              <w:autoSpaceDE/>
              <w:autoSpaceDN/>
              <w:snapToGrid/>
              <w:spacing w:line="560" w:lineRule="exact"/>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40172A">
            <w:pPr>
              <w:widowControl/>
              <w:autoSpaceDE/>
              <w:autoSpaceDN/>
              <w:snapToGrid/>
              <w:spacing w:line="560" w:lineRule="exact"/>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55922">
            <w:pPr>
              <w:widowControl/>
              <w:autoSpaceDE/>
              <w:autoSpaceDN/>
              <w:snapToGrid/>
              <w:spacing w:line="560" w:lineRule="exact"/>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F95401">
            <w:pPr>
              <w:widowControl/>
              <w:autoSpaceDE/>
              <w:autoSpaceDN/>
              <w:snapToGrid/>
              <w:spacing w:line="560" w:lineRule="exact"/>
              <w:ind w:firstLine="0"/>
              <w:jc w:val="center"/>
              <w:rPr>
                <w:rFonts w:eastAsia="宋体"/>
                <w:snapToGrid/>
                <w:sz w:val="24"/>
                <w:szCs w:val="24"/>
              </w:rPr>
            </w:pPr>
            <w:r>
              <w:rPr>
                <w:rFonts w:eastAsia="宋体"/>
                <w:snapToGrid/>
                <w:sz w:val="20"/>
              </w:rPr>
              <w:t>复议后起诉</w:t>
            </w:r>
          </w:p>
        </w:tc>
      </w:tr>
      <w:tr w14:paraId="7286C94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4BA1A64">
            <w:pPr>
              <w:widowControl/>
              <w:autoSpaceDE/>
              <w:autoSpaceDN/>
              <w:snapToGrid/>
              <w:spacing w:line="560" w:lineRule="exact"/>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02934E04">
            <w:pPr>
              <w:widowControl/>
              <w:autoSpaceDE/>
              <w:autoSpaceDN/>
              <w:snapToGrid/>
              <w:spacing w:line="560" w:lineRule="exact"/>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824A134">
            <w:pPr>
              <w:widowControl/>
              <w:autoSpaceDE/>
              <w:autoSpaceDN/>
              <w:snapToGrid/>
              <w:spacing w:line="560" w:lineRule="exact"/>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049391C">
            <w:pPr>
              <w:widowControl/>
              <w:autoSpaceDE/>
              <w:autoSpaceDN/>
              <w:snapToGrid/>
              <w:spacing w:line="560" w:lineRule="exact"/>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420C342">
            <w:pPr>
              <w:widowControl/>
              <w:autoSpaceDE/>
              <w:autoSpaceDN/>
              <w:snapToGrid/>
              <w:spacing w:line="560" w:lineRule="exact"/>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EF9DE2">
            <w:pPr>
              <w:widowControl/>
              <w:autoSpaceDE/>
              <w:autoSpaceDN/>
              <w:snapToGrid/>
              <w:spacing w:line="560" w:lineRule="exact"/>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8B7F3">
            <w:pPr>
              <w:widowControl/>
              <w:autoSpaceDE/>
              <w:autoSpaceDN/>
              <w:snapToGrid/>
              <w:spacing w:line="560" w:lineRule="exact"/>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5BEBE">
            <w:pPr>
              <w:widowControl/>
              <w:autoSpaceDE/>
              <w:autoSpaceDN/>
              <w:snapToGrid/>
              <w:spacing w:line="560" w:lineRule="exact"/>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35437">
            <w:pPr>
              <w:widowControl/>
              <w:autoSpaceDE/>
              <w:autoSpaceDN/>
              <w:snapToGrid/>
              <w:spacing w:line="560" w:lineRule="exact"/>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72AFF9">
            <w:pPr>
              <w:widowControl/>
              <w:autoSpaceDE/>
              <w:autoSpaceDN/>
              <w:snapToGrid/>
              <w:spacing w:line="560" w:lineRule="exact"/>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D5D62C">
            <w:pPr>
              <w:widowControl/>
              <w:autoSpaceDE/>
              <w:autoSpaceDN/>
              <w:snapToGrid/>
              <w:spacing w:line="560" w:lineRule="exact"/>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863358">
            <w:pPr>
              <w:widowControl/>
              <w:autoSpaceDE/>
              <w:autoSpaceDN/>
              <w:snapToGrid/>
              <w:spacing w:line="560" w:lineRule="exact"/>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6C9D3E">
            <w:pPr>
              <w:widowControl/>
              <w:autoSpaceDE/>
              <w:autoSpaceDN/>
              <w:snapToGrid/>
              <w:spacing w:line="560" w:lineRule="exact"/>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D95167">
            <w:pPr>
              <w:widowControl/>
              <w:autoSpaceDE/>
              <w:autoSpaceDN/>
              <w:snapToGrid/>
              <w:spacing w:line="560" w:lineRule="exact"/>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14BC40">
            <w:pPr>
              <w:widowControl/>
              <w:autoSpaceDE/>
              <w:autoSpaceDN/>
              <w:snapToGrid/>
              <w:spacing w:line="560" w:lineRule="exact"/>
              <w:ind w:firstLine="0"/>
              <w:jc w:val="center"/>
              <w:rPr>
                <w:rFonts w:eastAsia="宋体"/>
                <w:snapToGrid/>
                <w:sz w:val="24"/>
                <w:szCs w:val="24"/>
              </w:rPr>
            </w:pPr>
            <w:r>
              <w:rPr>
                <w:rFonts w:eastAsia="宋体"/>
                <w:snapToGrid/>
                <w:color w:val="000000"/>
                <w:sz w:val="20"/>
              </w:rPr>
              <w:t>总计</w:t>
            </w:r>
          </w:p>
        </w:tc>
      </w:tr>
      <w:tr w14:paraId="2B620581">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E57819">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3D2AEC">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A4A9C1">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111B11">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483FBA">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C1B9A2">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FB4762">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EE31AC">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F480BC">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FB5954">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9ECBB9">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FA5ABC">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77D91C">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D0AF7D">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E8F73F">
            <w:pPr>
              <w:widowControl/>
              <w:autoSpaceDE/>
              <w:autoSpaceDN/>
              <w:snapToGrid/>
              <w:spacing w:line="560" w:lineRule="exact"/>
              <w:ind w:firstLine="0"/>
              <w:jc w:val="center"/>
              <w:rPr>
                <w:rFonts w:eastAsia="宋体"/>
                <w:snapToGrid/>
                <w:sz w:val="24"/>
                <w:szCs w:val="24"/>
              </w:rPr>
            </w:pPr>
            <w:r>
              <w:rPr>
                <w:rFonts w:eastAsia="宋体"/>
                <w:snapToGrid/>
                <w:sz w:val="24"/>
                <w:szCs w:val="24"/>
              </w:rPr>
              <w:t>0</w:t>
            </w:r>
          </w:p>
        </w:tc>
      </w:tr>
    </w:tbl>
    <w:p w14:paraId="6A79E2A1">
      <w:pPr>
        <w:spacing w:line="560" w:lineRule="exact"/>
        <w:ind w:firstLine="640" w:firstLineChars="200"/>
        <w:rPr>
          <w:rFonts w:eastAsia="黑体"/>
          <w:szCs w:val="32"/>
        </w:rPr>
      </w:pPr>
    </w:p>
    <w:p w14:paraId="60F8203D">
      <w:pPr>
        <w:spacing w:line="560" w:lineRule="exact"/>
        <w:ind w:firstLine="640" w:firstLineChars="200"/>
        <w:rPr>
          <w:rFonts w:eastAsia="黑体"/>
          <w:szCs w:val="32"/>
        </w:rPr>
      </w:pPr>
      <w:r>
        <w:rPr>
          <w:rFonts w:eastAsia="黑体"/>
          <w:szCs w:val="32"/>
        </w:rPr>
        <w:t>五、存在的主要问题及改进情况</w:t>
      </w:r>
    </w:p>
    <w:p w14:paraId="29F9B7A0">
      <w:pPr>
        <w:spacing w:line="560" w:lineRule="exact"/>
        <w:ind w:firstLine="640" w:firstLineChars="200"/>
        <w:rPr>
          <w:rFonts w:eastAsia="楷体_GB2312"/>
          <w:szCs w:val="32"/>
        </w:rPr>
      </w:pPr>
      <w:r>
        <w:rPr>
          <w:rFonts w:eastAsia="楷体_GB2312"/>
          <w:szCs w:val="32"/>
        </w:rPr>
        <w:t>（一）存在问题</w:t>
      </w:r>
    </w:p>
    <w:p w14:paraId="002414EB">
      <w:pPr>
        <w:spacing w:line="560" w:lineRule="exact"/>
        <w:jc w:val="left"/>
        <w:rPr>
          <w:rFonts w:hint="eastAsia"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一是政策解读的实用性有待深化。现有材料虽已注重通俗化，但在贴近退役军人思维习惯、运用其身边事例阐释政策方面，仍有提升空间。</w:t>
      </w:r>
    </w:p>
    <w:p w14:paraId="4D707705">
      <w:pPr>
        <w:spacing w:line="560" w:lineRule="exact"/>
        <w:jc w:val="left"/>
        <w:rPr>
          <w:rFonts w:eastAsia="仿宋_GB2312"/>
          <w:color w:val="000000" w:themeColor="text1"/>
          <w:szCs w:val="32"/>
          <w14:textFill>
            <w14:solidFill>
              <w14:schemeClr w14:val="tx1"/>
            </w14:solidFill>
          </w14:textFill>
        </w:rPr>
      </w:pPr>
      <w:r>
        <w:rPr>
          <w:rFonts w:hint="eastAsia" w:eastAsia="仿宋_GB2312"/>
          <w:color w:val="000000" w:themeColor="text1"/>
          <w:szCs w:val="32"/>
          <w:lang w:eastAsia="zh-CN"/>
          <w14:textFill>
            <w14:solidFill>
              <w14:schemeClr w14:val="tx1"/>
            </w14:solidFill>
          </w14:textFill>
        </w:rPr>
        <w:t>二</w:t>
      </w:r>
      <w:r>
        <w:rPr>
          <w:rFonts w:eastAsia="仿宋_GB2312"/>
          <w:color w:val="000000" w:themeColor="text1"/>
          <w:szCs w:val="32"/>
          <w14:textFill>
            <w14:solidFill>
              <w14:schemeClr w14:val="tx1"/>
            </w14:solidFill>
          </w14:textFill>
        </w:rPr>
        <w:t>是线上平台与线下服务的协同联动有待优化。政府网站信息发布与县、镇、村三级退役军人服务站的线下告知、代办服务之间，在信息同步、业务衔接、反馈闭环上需进一步强化融合，以构建线上线下无缝衔接的服务体验。</w:t>
      </w:r>
    </w:p>
    <w:p w14:paraId="145F06E7">
      <w:pPr>
        <w:spacing w:line="560" w:lineRule="exact"/>
        <w:ind w:firstLine="640" w:firstLineChars="200"/>
        <w:rPr>
          <w:rFonts w:eastAsia="仿宋_GB2312"/>
          <w:color w:val="000000" w:themeColor="text1"/>
          <w:szCs w:val="32"/>
          <w14:textFill>
            <w14:solidFill>
              <w14:schemeClr w14:val="tx1"/>
            </w14:solidFill>
          </w14:textFill>
        </w:rPr>
      </w:pPr>
      <w:r>
        <w:rPr>
          <w:rFonts w:eastAsia="楷体_GB2312"/>
          <w:szCs w:val="32"/>
        </w:rPr>
        <w:t>（二）改进情况</w:t>
      </w:r>
    </w:p>
    <w:p w14:paraId="1C987B5A">
      <w:pPr>
        <w:spacing w:line="560" w:lineRule="exact"/>
        <w:jc w:val="left"/>
        <w:rPr>
          <w:rFonts w:eastAsia="仿宋_GB2312"/>
          <w:color w:val="000000" w:themeColor="text1"/>
          <w:szCs w:val="32"/>
          <w14:textFill>
            <w14:solidFill>
              <w14:schemeClr w14:val="tx1"/>
            </w14:solidFill>
          </w14:textFill>
        </w:rPr>
      </w:pPr>
      <w:r>
        <w:rPr>
          <w:rFonts w:hint="eastAsia" w:eastAsia="仿宋_GB2312"/>
          <w:color w:val="000000" w:themeColor="text1"/>
          <w:szCs w:val="32"/>
          <w:lang w:eastAsia="zh-CN"/>
          <w14:textFill>
            <w14:solidFill>
              <w14:schemeClr w14:val="tx1"/>
            </w14:solidFill>
          </w14:textFill>
        </w:rPr>
        <w:t>一</w:t>
      </w:r>
      <w:r>
        <w:rPr>
          <w:rFonts w:hint="eastAsia" w:eastAsia="仿宋_GB2312"/>
          <w:color w:val="000000" w:themeColor="text1"/>
          <w:szCs w:val="32"/>
          <w14:textFill>
            <w14:solidFill>
              <w14:schemeClr w14:val="tx1"/>
            </w14:solidFill>
          </w14:textFill>
        </w:rPr>
        <w:t>是丰富解读形式，增强生动性和多样性，以提升老兵的理解与接受程度。</w:t>
      </w:r>
      <w:r>
        <w:rPr>
          <w:rFonts w:hint="eastAsia" w:eastAsia="仿宋_GB2312"/>
          <w:color w:val="000000" w:themeColor="text1"/>
          <w:szCs w:val="32"/>
          <w:lang w:eastAsia="zh-CN"/>
          <w14:textFill>
            <w14:solidFill>
              <w14:schemeClr w14:val="tx1"/>
            </w14:solidFill>
          </w14:textFill>
        </w:rPr>
        <w:t>在</w:t>
      </w:r>
      <w:r>
        <w:rPr>
          <w:rFonts w:eastAsia="仿宋_GB2312"/>
          <w:color w:val="000000" w:themeColor="text1"/>
          <w:szCs w:val="32"/>
          <w14:textFill>
            <w14:solidFill>
              <w14:schemeClr w14:val="tx1"/>
            </w14:solidFill>
          </w14:textFill>
        </w:rPr>
        <w:t>服务窗口设立“政策咨询台”，提供面对面的“白话解读”和“办事导引”，将解读融入服务全过程。</w:t>
      </w:r>
    </w:p>
    <w:p w14:paraId="20C0DE59">
      <w:pPr>
        <w:spacing w:line="560" w:lineRule="exact"/>
        <w:jc w:val="left"/>
        <w:rPr>
          <w:rFonts w:eastAsia="黑体"/>
          <w:sz w:val="30"/>
          <w:szCs w:val="30"/>
        </w:rPr>
      </w:pPr>
      <w:r>
        <w:rPr>
          <w:rFonts w:hint="eastAsia" w:eastAsia="仿宋_GB2312"/>
          <w:color w:val="000000" w:themeColor="text1"/>
          <w:szCs w:val="32"/>
          <w:lang w:eastAsia="zh-CN"/>
          <w14:textFill>
            <w14:solidFill>
              <w14:schemeClr w14:val="tx1"/>
            </w14:solidFill>
          </w14:textFill>
        </w:rPr>
        <w:t>二</w:t>
      </w:r>
      <w:r>
        <w:rPr>
          <w:rFonts w:hint="eastAsia" w:eastAsia="仿宋_GB2312"/>
          <w:color w:val="000000" w:themeColor="text1"/>
          <w:szCs w:val="32"/>
          <w14:textFill>
            <w14:solidFill>
              <w14:schemeClr w14:val="tx1"/>
            </w14:solidFill>
          </w14:textFill>
        </w:rPr>
        <w:t>是</w:t>
      </w:r>
      <w:r>
        <w:rPr>
          <w:rFonts w:eastAsia="仿宋_GB2312"/>
          <w:color w:val="000000" w:themeColor="text1"/>
          <w:szCs w:val="32"/>
          <w14:textFill>
            <w14:solidFill>
              <w14:schemeClr w14:val="tx1"/>
            </w14:solidFill>
          </w14:textFill>
        </w:rPr>
        <w:t>建立信息发布与服务站同步更新机制，确保线上线下信息一致、服务标准统一。加强对服务站工作人员的政务公开业务培训，使其成为线下“信息员”和“解答员”</w:t>
      </w:r>
    </w:p>
    <w:p w14:paraId="221ECE15">
      <w:pPr>
        <w:spacing w:line="560" w:lineRule="exact"/>
        <w:ind w:firstLine="640" w:firstLineChars="200"/>
        <w:rPr>
          <w:rFonts w:eastAsia="黑体"/>
          <w:szCs w:val="32"/>
        </w:rPr>
      </w:pPr>
      <w:r>
        <w:rPr>
          <w:rFonts w:eastAsia="黑体"/>
          <w:szCs w:val="32"/>
        </w:rPr>
        <w:t>六、其他需要报告的事项</w:t>
      </w:r>
    </w:p>
    <w:p w14:paraId="12D4B5A0">
      <w:pPr>
        <w:spacing w:line="560" w:lineRule="exact"/>
        <w:ind w:firstLine="640" w:firstLineChars="200"/>
        <w:jc w:val="left"/>
        <w:rPr>
          <w:rFonts w:eastAsia="楷体_GB2312"/>
          <w:szCs w:val="32"/>
        </w:rPr>
      </w:pPr>
      <w:r>
        <w:rPr>
          <w:rFonts w:eastAsia="楷体_GB2312"/>
          <w:szCs w:val="32"/>
        </w:rPr>
        <w:t>（一）政府信息公开信息处理费收取情况</w:t>
      </w:r>
    </w:p>
    <w:p w14:paraId="0548853C">
      <w:pPr>
        <w:spacing w:line="560" w:lineRule="exact"/>
        <w:ind w:firstLine="640" w:firstLineChars="200"/>
        <w:rPr>
          <w:rFonts w:eastAsia="楷体_GB2312"/>
          <w:sz w:val="30"/>
          <w:szCs w:val="30"/>
        </w:rPr>
      </w:pPr>
      <w:r>
        <w:rPr>
          <w:rFonts w:eastAsia="仿宋_GB2312"/>
          <w:szCs w:val="32"/>
        </w:rPr>
        <w:t>本机关依申请提供政府信息，根据《国务院办公厅关于印发〈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4A2BF48F">
      <w:pPr>
        <w:spacing w:line="560" w:lineRule="exact"/>
        <w:ind w:firstLine="640" w:firstLineChars="200"/>
        <w:jc w:val="left"/>
        <w:rPr>
          <w:rFonts w:eastAsia="楷体_GB2312"/>
          <w:szCs w:val="32"/>
        </w:rPr>
      </w:pPr>
      <w:r>
        <w:rPr>
          <w:rFonts w:eastAsia="楷体_GB2312"/>
          <w:szCs w:val="32"/>
        </w:rPr>
        <w:t>（二）落实上级年度政务公开工作要点情况</w:t>
      </w:r>
    </w:p>
    <w:p w14:paraId="135200C5">
      <w:pPr>
        <w:spacing w:line="560" w:lineRule="exact"/>
        <w:ind w:firstLine="640" w:firstLineChars="200"/>
        <w:jc w:val="left"/>
        <w:rPr>
          <w:rFonts w:eastAsia="仿宋_GB2312"/>
          <w:szCs w:val="32"/>
        </w:rPr>
      </w:pPr>
      <w:r>
        <w:rPr>
          <w:rFonts w:eastAsia="仿宋_GB2312"/>
          <w:szCs w:val="32"/>
        </w:rPr>
        <w:t>严格落实国家和省市县政务公开工作要点，并根据《高青县人民政府办公室关于印发2025年高青县政务公开工作方案的通知》要求，制定了《高青县退役军人事务局政务公开工作方案》，明确了重点任务、工作标准和完成时限。</w:t>
      </w:r>
      <w:r>
        <w:rPr>
          <w:rFonts w:hint="eastAsia" w:eastAsia="仿宋_GB2312"/>
          <w:szCs w:val="32"/>
          <w:lang w:eastAsia="zh-CN"/>
        </w:rPr>
        <w:t>及时公开</w:t>
      </w:r>
      <w:r>
        <w:rPr>
          <w:rFonts w:eastAsia="仿宋_GB2312"/>
          <w:szCs w:val="32"/>
        </w:rPr>
        <w:t>退役军人移交安置、就业创业扶持、优抚优待政策落实、褒扬纪念等核心领域</w:t>
      </w:r>
      <w:r>
        <w:rPr>
          <w:rFonts w:hint="eastAsia" w:eastAsia="仿宋_GB2312"/>
          <w:szCs w:val="32"/>
          <w:lang w:eastAsia="zh-CN"/>
        </w:rPr>
        <w:t>信息</w:t>
      </w:r>
      <w:r>
        <w:rPr>
          <w:rFonts w:eastAsia="仿宋_GB2312"/>
          <w:szCs w:val="32"/>
        </w:rPr>
        <w:t>，细化公开内容、时限与责任</w:t>
      </w:r>
      <w:r>
        <w:rPr>
          <w:rFonts w:hint="eastAsia" w:eastAsia="仿宋_GB2312"/>
          <w:szCs w:val="32"/>
          <w:lang w:eastAsia="zh-CN"/>
        </w:rPr>
        <w:t>，</w:t>
      </w:r>
      <w:r>
        <w:rPr>
          <w:rFonts w:eastAsia="仿宋_GB2312"/>
          <w:szCs w:val="32"/>
        </w:rPr>
        <w:t>着力提升重点领域信息的透明度、规范性和可获得性，确保上级部署在我局得到有效执行。</w:t>
      </w:r>
    </w:p>
    <w:p w14:paraId="4BF451D8">
      <w:pPr>
        <w:spacing w:line="560" w:lineRule="exact"/>
        <w:ind w:firstLine="640" w:firstLineChars="200"/>
        <w:jc w:val="left"/>
        <w:rPr>
          <w:rFonts w:eastAsia="楷体_GB2312"/>
          <w:szCs w:val="32"/>
        </w:rPr>
      </w:pPr>
      <w:r>
        <w:rPr>
          <w:rFonts w:eastAsia="楷体_GB2312"/>
          <w:szCs w:val="32"/>
        </w:rPr>
        <w:t>（三）人大代表建议和政协委员提案办理结果公开情况</w:t>
      </w:r>
    </w:p>
    <w:p w14:paraId="76F4A1DC">
      <w:pPr>
        <w:spacing w:line="560" w:lineRule="exact"/>
        <w:ind w:firstLine="640" w:firstLineChars="200"/>
        <w:rPr>
          <w:rFonts w:eastAsia="楷体_GB2312"/>
          <w:szCs w:val="32"/>
        </w:rPr>
      </w:pPr>
      <w:r>
        <w:rPr>
          <w:rFonts w:eastAsia="仿宋_GB2312"/>
          <w:szCs w:val="32"/>
        </w:rPr>
        <w:t>2025年未承办县十八届人大三次会议建议、县政协十五届三次会议提案。</w:t>
      </w:r>
    </w:p>
    <w:p w14:paraId="21F25F52">
      <w:pPr>
        <w:spacing w:line="560" w:lineRule="exact"/>
        <w:ind w:firstLine="640" w:firstLineChars="200"/>
        <w:jc w:val="left"/>
        <w:rPr>
          <w:rFonts w:eastAsia="楷体_GB2312"/>
          <w:szCs w:val="32"/>
        </w:rPr>
      </w:pPr>
      <w:r>
        <w:rPr>
          <w:rFonts w:eastAsia="楷体_GB2312"/>
          <w:szCs w:val="32"/>
        </w:rPr>
        <w:t>（四）政务公开工作创新情况</w:t>
      </w:r>
    </w:p>
    <w:p w14:paraId="086F65E6">
      <w:pPr>
        <w:spacing w:line="560" w:lineRule="exact"/>
        <w:ind w:firstLine="640" w:firstLineChars="200"/>
        <w:jc w:val="left"/>
        <w:rPr>
          <w:rFonts w:hint="eastAsia" w:eastAsia="仿宋_GB2312"/>
          <w:szCs w:val="32"/>
        </w:rPr>
      </w:pPr>
      <w:r>
        <w:rPr>
          <w:rFonts w:hint="eastAsia" w:eastAsia="仿宋_GB2312"/>
          <w:szCs w:val="32"/>
        </w:rPr>
        <w:t>推行“沉浸式”政策体验活动。针对部分复杂政策，邀请有代表性的退役军人走进机关，现场模拟申请全流程，通过亲身体验增强政策感知，使政策内容更直观、更贴近实际。同时，建立“老兵信息观察员”机制，从不同行业、年龄段退役军人中选聘若干观察员，定期听取他们对信息公开内容、渠道和方式的意见建议，推动公开工作更接地气、更合需求。</w:t>
      </w:r>
    </w:p>
    <w:p w14:paraId="350B5A39">
      <w:pPr>
        <w:spacing w:line="560" w:lineRule="exact"/>
        <w:ind w:firstLine="640" w:firstLineChars="200"/>
        <w:jc w:val="left"/>
        <w:rPr>
          <w:rFonts w:eastAsia="楷体_GB2312"/>
          <w:szCs w:val="32"/>
        </w:rPr>
      </w:pPr>
      <w:r>
        <w:rPr>
          <w:rFonts w:eastAsia="楷体_GB2312"/>
          <w:szCs w:val="32"/>
        </w:rPr>
        <w:t>（五）有关数据统计说明</w:t>
      </w:r>
    </w:p>
    <w:p w14:paraId="0F90FD73">
      <w:pPr>
        <w:spacing w:line="560" w:lineRule="exact"/>
        <w:ind w:firstLine="640" w:firstLineChars="200"/>
        <w:rPr>
          <w:rFonts w:eastAsia="仿宋_GB2312"/>
          <w:szCs w:val="32"/>
        </w:rPr>
      </w:pPr>
      <w:r>
        <w:rPr>
          <w:rFonts w:eastAsia="仿宋_GB2312"/>
          <w:szCs w:val="32"/>
        </w:rPr>
        <w:t>1.报告中所列数据可能因四舍五入原因与数据直接相加之和存在尾数差异。</w:t>
      </w:r>
    </w:p>
    <w:p w14:paraId="4857D5DB">
      <w:pPr>
        <w:spacing w:line="560" w:lineRule="exact"/>
        <w:ind w:firstLine="640" w:firstLineChars="200"/>
        <w:rPr>
          <w:rFonts w:eastAsia="仿宋_GB2312"/>
          <w:szCs w:val="32"/>
        </w:rPr>
      </w:pPr>
      <w:r>
        <w:rPr>
          <w:rFonts w:eastAsia="仿宋_GB2312"/>
          <w:szCs w:val="32"/>
        </w:rPr>
        <w:t>2.行政许可数量、行政处罚和行政强制数量，包括已公开和依法未公开的全部处理决定。</w:t>
      </w:r>
    </w:p>
    <w:p w14:paraId="6CB40B6C">
      <w:pPr>
        <w:spacing w:line="560" w:lineRule="exact"/>
        <w:ind w:firstLine="640" w:firstLineChars="200"/>
        <w:rPr>
          <w:rFonts w:eastAsia="仿宋_GB2312"/>
          <w:szCs w:val="32"/>
        </w:rPr>
      </w:pPr>
      <w:r>
        <w:rPr>
          <w:rFonts w:eastAsia="仿宋_GB2312"/>
          <w:szCs w:val="32"/>
        </w:rPr>
        <w:t>3.行政复议机关作为共同被告的行政诉讼案件，只计算原行为主体的案件数量，不计算行政复议机关的案件数量。</w:t>
      </w:r>
    </w:p>
    <w:p w14:paraId="52271868">
      <w:pPr>
        <w:spacing w:line="560" w:lineRule="exact"/>
        <w:ind w:firstLine="600"/>
        <w:rPr>
          <w:rFonts w:eastAsia="楷体_GB2312"/>
          <w:sz w:val="30"/>
          <w:szCs w:val="30"/>
        </w:rPr>
      </w:pPr>
    </w:p>
    <w:p w14:paraId="40E03675">
      <w:pPr>
        <w:spacing w:line="560" w:lineRule="exact"/>
        <w:rPr>
          <w:rFonts w:eastAsia="仿宋_GB2312"/>
        </w:rPr>
      </w:pPr>
    </w:p>
    <w:p w14:paraId="7495F6D3">
      <w:pPr>
        <w:spacing w:line="560" w:lineRule="exact"/>
        <w:ind w:firstLine="640" w:firstLineChars="200"/>
        <w:jc w:val="left"/>
        <w:rPr>
          <w:rFonts w:eastAsia="仿宋_GB2312"/>
        </w:rPr>
      </w:pPr>
    </w:p>
    <w:p w14:paraId="382AF211">
      <w:pPr>
        <w:spacing w:line="560" w:lineRule="exact"/>
        <w:ind w:firstLine="600" w:firstLineChars="200"/>
        <w:jc w:val="left"/>
        <w:rPr>
          <w:rFonts w:eastAsia="楷体_GB2312"/>
          <w:sz w:val="30"/>
          <w:szCs w:val="30"/>
        </w:rPr>
      </w:pPr>
    </w:p>
    <w:p w14:paraId="629541ED">
      <w:pPr>
        <w:spacing w:line="560" w:lineRule="exact"/>
        <w:ind w:firstLine="600" w:firstLineChars="200"/>
        <w:rPr>
          <w:rFonts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C50D2"/>
    <w:rsid w:val="00210F4D"/>
    <w:rsid w:val="00211942"/>
    <w:rsid w:val="002133C7"/>
    <w:rsid w:val="002961F2"/>
    <w:rsid w:val="002E3543"/>
    <w:rsid w:val="00334024"/>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B77F22"/>
    <w:rsid w:val="00C542CC"/>
    <w:rsid w:val="00C67940"/>
    <w:rsid w:val="00C73BD0"/>
    <w:rsid w:val="00CC2BE7"/>
    <w:rsid w:val="00CC521B"/>
    <w:rsid w:val="00CD1D00"/>
    <w:rsid w:val="00D234BA"/>
    <w:rsid w:val="00D62DE4"/>
    <w:rsid w:val="00E1209C"/>
    <w:rsid w:val="00E50639"/>
    <w:rsid w:val="00E60B5D"/>
    <w:rsid w:val="00E964AD"/>
    <w:rsid w:val="00EA0721"/>
    <w:rsid w:val="00ED2963"/>
    <w:rsid w:val="00EF5607"/>
    <w:rsid w:val="00FA216A"/>
    <w:rsid w:val="00FD5381"/>
    <w:rsid w:val="3BEA7C20"/>
    <w:rsid w:val="509A2B91"/>
    <w:rsid w:val="546D070F"/>
    <w:rsid w:val="5B3B5816"/>
    <w:rsid w:val="62177AF4"/>
    <w:rsid w:val="67FFE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annotation subject"/>
    <w:basedOn w:val="2"/>
    <w:next w:val="2"/>
    <w:link w:val="13"/>
    <w:semiHidden/>
    <w:unhideWhenUsed/>
    <w:qFormat/>
    <w:uiPriority w:val="99"/>
    <w:rPr>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页脚 字符"/>
    <w:basedOn w:val="8"/>
    <w:link w:val="3"/>
    <w:qFormat/>
    <w:uiPriority w:val="99"/>
    <w:rPr>
      <w:rFonts w:ascii="Times New Roman" w:hAnsi="Times New Roman" w:eastAsia="方正仿宋_GBK" w:cs="Times New Roman"/>
      <w:snapToGrid w:val="0"/>
      <w:kern w:val="0"/>
      <w:sz w:val="18"/>
      <w:szCs w:val="18"/>
    </w:rPr>
  </w:style>
  <w:style w:type="character" w:customStyle="1" w:styleId="12">
    <w:name w:val="批注文字 字符"/>
    <w:basedOn w:val="8"/>
    <w:link w:val="2"/>
    <w:semiHidden/>
    <w:qFormat/>
    <w:uiPriority w:val="99"/>
    <w:rPr>
      <w:rFonts w:ascii="Times New Roman" w:hAnsi="Times New Roman" w:eastAsia="方正仿宋_GBK" w:cs="Times New Roman"/>
      <w:snapToGrid w:val="0"/>
      <w:sz w:val="32"/>
    </w:rPr>
  </w:style>
  <w:style w:type="character" w:customStyle="1" w:styleId="13">
    <w:name w:val="批注主题 字符"/>
    <w:basedOn w:val="12"/>
    <w:link w:val="5"/>
    <w:semiHidden/>
    <w:qFormat/>
    <w:uiPriority w:val="99"/>
    <w:rPr>
      <w:rFonts w:ascii="Times New Roman" w:hAnsi="Times New Roman" w:eastAsia="方正仿宋_GBK" w:cs="Times New Roman"/>
      <w:b/>
      <w:bCs/>
      <w:snapToGrid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县退役军人事务局主动公开信息分布图</a:t>
            </a:r>
          </a:p>
        </c:rich>
      </c:tx>
      <c:layout/>
      <c:overlay val="0"/>
      <c:spPr>
        <a:noFill/>
        <a:ln>
          <a:noFill/>
        </a:ln>
        <a:effectLst/>
      </c:spPr>
    </c:title>
    <c:autoTitleDeleted val="0"/>
    <c:plotArea>
      <c:layout/>
      <c:pieChart>
        <c:varyColors val="1"/>
        <c:ser>
          <c:idx val="0"/>
          <c:order val="0"/>
          <c:tx>
            <c:strRef>
              <c:f>Sheet1!$B$1</c:f>
              <c:strCache>
                <c:ptCount val="1"/>
                <c:pt idx="0">
                  <c:v>县退役军人事务局主动信息公开分布图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机构职能</c:v>
                </c:pt>
                <c:pt idx="1">
                  <c:v>政策文件</c:v>
                </c:pt>
                <c:pt idx="2">
                  <c:v>财政预决算信息</c:v>
                </c:pt>
                <c:pt idx="3">
                  <c:v>重要部署执行</c:v>
                </c:pt>
              </c:strCache>
            </c:strRef>
          </c:cat>
          <c:val>
            <c:numRef>
              <c:f>Sheet1!$B$2:$B$5</c:f>
              <c:numCache>
                <c:formatCode>General</c:formatCode>
                <c:ptCount val="4"/>
                <c:pt idx="0">
                  <c:v>1</c:v>
                </c:pt>
                <c:pt idx="1">
                  <c:v>2.2</c:v>
                </c:pt>
                <c:pt idx="2">
                  <c:v>1.4</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05cf5ed7-edea-4b16-88ba-4f6b97117de1</errorID>
      <errorWord>&lt;</errorWord>
      <group>L1_Format</group>
      <groupName>格式问题</groupName>
      <ability>L2_HalfPunc</ability>
      <abilityName>全半角检查</abilityName>
      <candidateList>
        <item>〈</item>
      </candidateList>
      <explain>文本全半角错误。</explain>
      <paraID>22C07A68</paraID>
      <start>66</start>
      <end>67</end>
      <status>unmodified</status>
      <modifiedWord/>
      <trackRevisions>false</trackRevisions>
    </reviewItem>
    <reviewItem>
      <errorID>c4b62079-d34e-4bfe-ab8e-b3b61fa6e9d9</errorID>
      <errorWord>&gt;的通知》</errorWord>
      <group>L1_Punc</group>
      <groupName>标点问题</groupName>
      <ability>L2_Punc</ability>
      <abilityName>标点符号检查</abilityName>
      <candidateList>
        <item>〉的通知》</item>
      </candidateList>
      <explain/>
      <paraID>22C07A68</paraID>
      <start>88</start>
      <end>93</end>
      <status>unmodified</status>
      <modifiedWord/>
      <trackRevisions>false</trackRevisions>
    </reviewItem>
    <reviewItem>
      <errorID>f1525fe9-4f07-42b6-ba6a-4972ab809a8f</errorID>
      <errorWord>处理</errorWord>
      <group>L1_Word</group>
      <groupName>字词问题</groupName>
      <ability>L2_Typo</ability>
      <abilityName>字词错误</abilityName>
      <candidateList>
        <item>受理</item>
      </candidateList>
      <explain/>
      <paraID>43A5A2C9</paraID>
      <start>22</start>
      <end>24</end>
      <status>unmodified</status>
      <modifiedWord/>
      <trackRevisions>false</trackRevisions>
    </reviewItem>
    <reviewItem>
      <errorID>0596dd9d-6162-44ee-8931-d5af3807ccfe</errorID>
      <errorWord>处理</errorWord>
      <group>L1_Word</group>
      <groupName>字词问题</groupName>
      <ability>L2_Typo</ability>
      <abilityName>字词错误</abilityName>
      <candidateList>
        <item>受理</item>
      </candidateList>
      <explain/>
      <paraID>15F47275</paraID>
      <start>26</start>
      <end>28</end>
      <status>unmodified</status>
      <modifiedWord/>
      <trackRevisions>false</trackRevisions>
    </reviewItem>
    <reviewItem>
      <errorID>2bba0e2d-2ff4-4fc5-a28a-e47c2604f8bb</errorID>
      <errorWord>〈</errorWord>
      <group>L1_Punc</group>
      <groupName>标点问题</groupName>
      <ability>L2_Punc</ability>
      <abilityName>标点符号检查</abilityName>
      <candidateList/>
      <explain/>
      <paraID> 548853C</paraID>
      <start>26</start>
      <end>27</end>
      <status>unmodified</status>
      <modifiedWord/>
      <trackRevisions>false</trackRevisions>
    </reviewItem>
    <reviewItem>
      <errorID>f39e258b-8f7e-4ac6-8500-62605523cbeb</errorID>
      <errorWord>&gt;的通知》</errorWord>
      <group>L1_Punc</group>
      <groupName>标点问题</groupName>
      <ability>L2_Punc</ability>
      <abilityName>标点符号检查</abilityName>
      <candidateList>
        <item>〉的通知》</item>
      </candidateList>
      <explain/>
      <paraID> 548853C</paraID>
      <start>42</start>
      <end>47</end>
      <status>unmodified</status>
      <modifiedWord/>
      <trackRevisions>false</trackRevisions>
    </reviewItem>
    <reviewItem>
      <errorID>b50cc246-a428-4503-9382-3245a45f5b08</errorID>
      <errorWord>人大三次</errorWord>
      <group>L1_Grammar</group>
      <groupName>语法问题</groupName>
      <ability>L2_Order</ability>
      <abilityName>语序不当</abilityName>
      <candidateList>
        <item>三次人大</item>
      </candidateList>
      <explain>句子可能没有遵循时空、逻辑顺序，或者介词、关联词等位置不当。</explain>
      <paraID>76F4A1DC</paraID>
      <start>12</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4a2ef3ad-dffb-4473-9870-5ea28b4c3c3e}">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1431</Words>
  <Characters>1550</Characters>
  <Lines>28</Lines>
  <Paragraphs>7</Paragraphs>
  <TotalTime>13</TotalTime>
  <ScaleCrop>false</ScaleCrop>
  <LinksUpToDate>false</LinksUpToDate>
  <CharactersWithSpaces>1551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第五东风</cp:lastModifiedBy>
  <dcterms:modified xsi:type="dcterms:W3CDTF">2026-01-21T02:53:55Z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eyJoZGlkIjoiNTM0NTNjNGJhMjQ3MTIwMTY5ZTA2MzFkNTAwZjk0ZTAiLCJ1c2VySWQiOiIyMTczNjI5MzAifQ==</vt:lpwstr>
  </property>
  <property fmtid="{D5CDD505-2E9C-101B-9397-08002B2CF9AE}" pid="3" name="KSOProductBuildVer">
    <vt:lpwstr>2052-12.1.0.24657</vt:lpwstr>
  </property>
  <property fmtid="{D5CDD505-2E9C-101B-9397-08002B2CF9AE}" pid="4" name="ICV">
    <vt:lpwstr>105C57C600504E628A6F7FEF343DADFA_13</vt:lpwstr>
  </property>
</Properties>
</file>