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E0F3">
      <w:pPr>
        <w:spacing w:line="560" w:lineRule="exact"/>
        <w:ind w:firstLine="0"/>
        <w:jc w:val="center"/>
        <w:rPr>
          <w:rFonts w:hint="eastAsia" w:ascii="Times New Roman" w:hAnsi="Times New Roman" w:eastAsia="方正小标宋简体" w:cs="Times New Roman"/>
          <w:kern w:val="0"/>
          <w:sz w:val="44"/>
          <w:szCs w:val="44"/>
          <w:lang w:val="en-US" w:eastAsia="zh-CN"/>
        </w:rPr>
      </w:pPr>
      <w:r>
        <w:rPr>
          <w:rFonts w:hint="eastAsia" w:ascii="Times New Roman" w:hAnsi="Times New Roman" w:eastAsia="方正小标宋简体" w:cs="Times New Roman"/>
          <w:kern w:val="0"/>
          <w:sz w:val="44"/>
          <w:szCs w:val="44"/>
        </w:rPr>
        <w:t>高青县</w:t>
      </w:r>
      <w:r>
        <w:rPr>
          <w:rFonts w:hint="eastAsia" w:ascii="Times New Roman" w:hAnsi="Times New Roman" w:eastAsia="方正小标宋简体" w:cs="Times New Roman"/>
          <w:kern w:val="0"/>
          <w:sz w:val="44"/>
          <w:szCs w:val="44"/>
          <w:lang w:val="en-US" w:eastAsia="zh-CN"/>
        </w:rPr>
        <w:t>投资促进中心</w:t>
      </w:r>
    </w:p>
    <w:p w14:paraId="0763809C">
      <w:pPr>
        <w:spacing w:line="560" w:lineRule="exact"/>
        <w:ind w:firstLine="0"/>
        <w:jc w:val="center"/>
        <w:rPr>
          <w:rFonts w:ascii="Times New Roman" w:hAnsi="Times New Roman" w:eastAsia="方正小标宋简体" w:cs="Times New Roman"/>
          <w:kern w:val="0"/>
          <w:sz w:val="44"/>
          <w:szCs w:val="44"/>
        </w:rPr>
      </w:pPr>
      <w:r>
        <w:rPr>
          <w:rFonts w:hint="eastAsia" w:ascii="Times New Roman" w:hAnsi="Times New Roman" w:eastAsia="方正小标宋简体" w:cs="Times New Roman"/>
          <w:kern w:val="0"/>
          <w:sz w:val="44"/>
          <w:szCs w:val="44"/>
        </w:rPr>
        <w:t>202</w:t>
      </w:r>
      <w:r>
        <w:rPr>
          <w:rFonts w:hint="eastAsia" w:ascii="Times New Roman" w:hAnsi="Times New Roman" w:eastAsia="方正小标宋简体" w:cs="Times New Roman"/>
          <w:kern w:val="0"/>
          <w:sz w:val="44"/>
          <w:szCs w:val="44"/>
          <w:lang w:val="en-US" w:eastAsia="zh-CN"/>
        </w:rPr>
        <w:t>5</w:t>
      </w:r>
      <w:r>
        <w:rPr>
          <w:rFonts w:hint="eastAsia" w:ascii="Times New Roman" w:hAnsi="Times New Roman" w:eastAsia="方正小标宋简体" w:cs="Times New Roman"/>
          <w:kern w:val="0"/>
          <w:sz w:val="44"/>
          <w:szCs w:val="44"/>
        </w:rPr>
        <w:t>年政府信息公开工作年度报告</w:t>
      </w:r>
    </w:p>
    <w:p w14:paraId="26424DEB">
      <w:pPr>
        <w:spacing w:line="600" w:lineRule="exact"/>
        <w:ind w:firstLine="640" w:firstLineChars="200"/>
        <w:rPr>
          <w:rFonts w:hint="eastAsia" w:ascii="仿宋_GB2312" w:eastAsia="仿宋_GB2312"/>
        </w:rPr>
      </w:pPr>
    </w:p>
    <w:p w14:paraId="5DBA3227">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5259FB31">
      <w:pPr>
        <w:spacing w:line="600" w:lineRule="exact"/>
        <w:ind w:firstLine="640" w:firstLineChars="200"/>
        <w:rPr>
          <w:rFonts w:ascii="仿宋_GB2312" w:hAnsi="黑体" w:eastAsia="仿宋_GB2312"/>
        </w:rPr>
      </w:pPr>
      <w:r>
        <w:rPr>
          <w:rFonts w:hint="eastAsia" w:ascii="仿宋_GB2312" w:eastAsia="仿宋_GB2312"/>
        </w:rPr>
        <w:t>报告中所列数据统计期限自202</w:t>
      </w:r>
      <w:r>
        <w:rPr>
          <w:rFonts w:hint="eastAsia" w:ascii="仿宋_GB2312" w:eastAsia="仿宋_GB2312"/>
          <w:lang w:val="en-US" w:eastAsia="zh-CN"/>
        </w:rPr>
        <w:t>5</w:t>
      </w:r>
      <w:r>
        <w:rPr>
          <w:rFonts w:hint="eastAsia" w:ascii="仿宋_GB2312" w:eastAsia="仿宋_GB2312"/>
        </w:rPr>
        <w:t>年1月1日始，至202</w:t>
      </w:r>
      <w:r>
        <w:rPr>
          <w:rFonts w:hint="eastAsia" w:ascii="仿宋_GB2312" w:eastAsia="仿宋_GB2312"/>
          <w:lang w:val="en-US" w:eastAsia="zh-CN"/>
        </w:rPr>
        <w:t>5</w:t>
      </w:r>
      <w:r>
        <w:rPr>
          <w:rFonts w:hint="eastAsia" w:ascii="仿宋_GB2312" w:eastAsia="仿宋_GB2312"/>
        </w:rPr>
        <w:t>年12月31日止。报告电子版可在高青县人民政府门户网站（www.gaoqing.gov.cn）查阅和下载。如对报告内容有疑问，请与高青县XX局办公室联系（地址：山东省淄博市高青县</w:t>
      </w:r>
      <w:r>
        <w:rPr>
          <w:rFonts w:hint="eastAsia" w:ascii="仿宋_GB2312" w:eastAsia="仿宋_GB2312"/>
          <w:lang w:val="en-US" w:eastAsia="zh-CN"/>
        </w:rPr>
        <w:t>清河</w:t>
      </w:r>
      <w:r>
        <w:rPr>
          <w:rFonts w:hint="eastAsia" w:ascii="仿宋_GB2312" w:eastAsia="仿宋_GB2312"/>
        </w:rPr>
        <w:t>路</w:t>
      </w:r>
      <w:r>
        <w:rPr>
          <w:rFonts w:hint="eastAsia" w:ascii="仿宋_GB2312" w:eastAsia="仿宋_GB2312"/>
          <w:lang w:val="en-US" w:eastAsia="zh-CN"/>
        </w:rPr>
        <w:t>9</w:t>
      </w:r>
      <w:r>
        <w:rPr>
          <w:rFonts w:hint="eastAsia" w:ascii="仿宋_GB2312" w:eastAsia="仿宋_GB2312"/>
        </w:rPr>
        <w:t>号；邮编：</w:t>
      </w:r>
      <w:r>
        <w:rPr>
          <w:rFonts w:hint="eastAsia" w:ascii="仿宋_GB2312" w:eastAsia="仿宋_GB2312"/>
          <w:lang w:val="en-US" w:eastAsia="zh-CN"/>
        </w:rPr>
        <w:t>256300</w:t>
      </w:r>
      <w:r>
        <w:rPr>
          <w:rFonts w:hint="eastAsia" w:ascii="仿宋_GB2312" w:eastAsia="仿宋_GB2312"/>
        </w:rPr>
        <w:t>；电话：0533-</w:t>
      </w:r>
      <w:r>
        <w:rPr>
          <w:rFonts w:hint="eastAsia" w:ascii="仿宋_GB2312" w:eastAsia="仿宋_GB2312"/>
          <w:lang w:val="en-US" w:eastAsia="zh-CN"/>
        </w:rPr>
        <w:t>6967699</w:t>
      </w:r>
      <w:r>
        <w:rPr>
          <w:rFonts w:hint="eastAsia" w:ascii="仿宋_GB2312" w:eastAsia="仿宋_GB2312"/>
        </w:rPr>
        <w:t>；邮箱：</w:t>
      </w:r>
      <w:r>
        <w:rPr>
          <w:rFonts w:eastAsia="仿宋_GB2312"/>
        </w:rPr>
        <w:t>gqxzsj@zb.shandong.cn</w:t>
      </w:r>
      <w:r>
        <w:rPr>
          <w:rFonts w:hint="eastAsia" w:ascii="仿宋_GB2312" w:eastAsia="仿宋_GB2312"/>
        </w:rPr>
        <w:t>）。</w:t>
      </w:r>
    </w:p>
    <w:p w14:paraId="51C988CB">
      <w:pPr>
        <w:spacing w:line="600" w:lineRule="exact"/>
        <w:ind w:firstLine="640" w:firstLineChars="200"/>
        <w:rPr>
          <w:rFonts w:ascii="黑体" w:hAnsi="黑体" w:eastAsia="黑体"/>
          <w:szCs w:val="32"/>
        </w:rPr>
      </w:pPr>
      <w:r>
        <w:rPr>
          <w:rFonts w:hint="eastAsia" w:ascii="黑体" w:hAnsi="黑体" w:eastAsia="黑体"/>
          <w:szCs w:val="32"/>
        </w:rPr>
        <w:t>一、总体情况</w:t>
      </w:r>
    </w:p>
    <w:p w14:paraId="5E408AD8">
      <w:pPr>
        <w:spacing w:line="600" w:lineRule="exact"/>
        <w:ind w:firstLine="640" w:firstLineChars="200"/>
        <w:rPr>
          <w:rFonts w:hint="eastAsia" w:ascii="仿宋_GB2312" w:hAnsi="Times New Roman" w:eastAsia="仿宋_GB2312" w:cs="Times New Roman"/>
          <w:lang w:val="en-US" w:eastAsia="zh-CN"/>
        </w:rPr>
      </w:pPr>
      <w:r>
        <w:rPr>
          <w:rFonts w:hint="eastAsia" w:ascii="仿宋_GB2312" w:hAnsi="Times New Roman" w:eastAsia="仿宋_GB2312" w:cs="Times New Roman"/>
        </w:rPr>
        <w:t>2025年，高青县投资促进中心坚持以</w:t>
      </w:r>
      <w:r>
        <w:rPr>
          <w:rFonts w:hint="eastAsia" w:ascii="仿宋_GB2312" w:eastAsia="仿宋_GB2312" w:cs="Times New Roman"/>
          <w:lang w:eastAsia="zh-CN"/>
        </w:rPr>
        <w:t>习近平</w:t>
      </w:r>
      <w:bookmarkStart w:id="0" w:name="_GoBack"/>
      <w:bookmarkEnd w:id="0"/>
      <w:r>
        <w:rPr>
          <w:rFonts w:hint="eastAsia" w:ascii="仿宋_GB2312" w:hAnsi="Times New Roman" w:eastAsia="仿宋_GB2312" w:cs="Times New Roman"/>
        </w:rPr>
        <w:t>新时代中国特色社会主义思想为指导，认真落实国家和省市县政务公开工作部署，持续完善公开机制，规范公开流程，丰富公开内容，全面提升政府信息公开工作的标准化、规范化水平。</w:t>
      </w:r>
    </w:p>
    <w:p w14:paraId="3F2D7827">
      <w:pPr>
        <w:spacing w:line="600" w:lineRule="exact"/>
        <w:jc w:val="left"/>
        <w:rPr>
          <w:rFonts w:ascii="楷体_GB2312" w:eastAsia="楷体_GB2312"/>
        </w:rPr>
      </w:pPr>
      <w:r>
        <w:rPr>
          <w:rFonts w:hint="eastAsia" w:ascii="楷体_GB2312" w:eastAsia="楷体_GB2312"/>
        </w:rPr>
        <w:t>（一）主动公开</w:t>
      </w:r>
    </w:p>
    <w:p w14:paraId="07C6332C">
      <w:pPr>
        <w:spacing w:line="600" w:lineRule="exact"/>
        <w:ind w:firstLine="640" w:firstLineChars="200"/>
        <w:rPr>
          <w:rFonts w:hint="eastAsia" w:ascii="仿宋_GB2312" w:hAnsi="Times New Roman" w:eastAsia="仿宋_GB2312" w:cs="Times New Roman"/>
        </w:rPr>
      </w:pPr>
      <w:r>
        <w:rPr>
          <w:rFonts w:hint="eastAsia" w:ascii="仿宋_GB2312" w:hAnsi="Times New Roman" w:eastAsia="仿宋_GB2312" w:cs="Times New Roman"/>
        </w:rPr>
        <w:t>构建长效管理机制，制定并实施《高青县投资促进中心政务公开管理办法》，明确了信息从产生、审核到公开的全流程责任，从源头上提升了工作的主动性与规范性。严格依据法定公开范围，以高青县人民政府门户网站为核心平台，围绕机构职能、政策文件、工作动态、财政信息、通知公告等重点领域，全面、及时、准确地开展主动公开。全年累计公开各类政府信息2</w:t>
      </w:r>
      <w:r>
        <w:rPr>
          <w:rFonts w:hint="eastAsia" w:ascii="仿宋_GB2312" w:hAnsi="Times New Roman" w:eastAsia="仿宋_GB2312" w:cs="Times New Roman"/>
          <w:lang w:val="en-US" w:eastAsia="zh-CN"/>
        </w:rPr>
        <w:t>90</w:t>
      </w:r>
      <w:r>
        <w:rPr>
          <w:rFonts w:hint="eastAsia" w:ascii="仿宋_GB2312" w:hAnsi="Times New Roman" w:eastAsia="仿宋_GB2312" w:cs="Times New Roman"/>
        </w:rPr>
        <w:t>条，较2024年增长</w:t>
      </w:r>
      <w:r>
        <w:rPr>
          <w:rFonts w:hint="eastAsia" w:ascii="仿宋_GB2312" w:hAnsi="Times New Roman" w:eastAsia="仿宋_GB2312" w:cs="Times New Roman"/>
          <w:lang w:val="en-US" w:eastAsia="zh-CN"/>
        </w:rPr>
        <w:t>4</w:t>
      </w:r>
      <w:r>
        <w:rPr>
          <w:rFonts w:hint="eastAsia" w:ascii="仿宋_GB2312" w:hAnsi="Times New Roman" w:eastAsia="仿宋_GB2312" w:cs="Times New Roman"/>
        </w:rPr>
        <w:t>.0%。在政策解读方面，对涉及面广、企业关注度高的政策文件，坚持“应解读、尽解读”，全年发布图文解读材料</w:t>
      </w:r>
      <w:r>
        <w:rPr>
          <w:rFonts w:hint="eastAsia" w:ascii="仿宋_GB2312" w:eastAsia="仿宋_GB2312" w:cs="Times New Roman"/>
          <w:lang w:val="en-US" w:eastAsia="zh-CN"/>
        </w:rPr>
        <w:t>1</w:t>
      </w:r>
      <w:r>
        <w:rPr>
          <w:rFonts w:hint="eastAsia" w:ascii="仿宋_GB2312" w:hAnsi="Times New Roman" w:eastAsia="仿宋_GB2312" w:cs="Times New Roman"/>
        </w:rPr>
        <w:t>篇。聚焦招商引资领域，及时公开产业规划、招商动态、服务指南等信息，增强了投资环境的透明度与吸引力。</w:t>
      </w:r>
    </w:p>
    <w:p w14:paraId="42D6CB63">
      <w:pPr>
        <w:spacing w:line="600" w:lineRule="exact"/>
        <w:ind w:left="0" w:leftChars="0" w:firstLine="0" w:firstLineChars="0"/>
        <w:jc w:val="left"/>
        <w:rPr>
          <w:rFonts w:hint="eastAsia" w:ascii="楷体_GB2312" w:eastAsia="楷体_GB2312"/>
          <w:lang w:eastAsia="zh-CN"/>
        </w:rPr>
      </w:pPr>
      <w:r>
        <w:rPr>
          <w:rFonts w:hint="eastAsia" w:ascii="楷体_GB2312" w:eastAsia="楷体_GB2312"/>
          <w:lang w:eastAsia="zh-CN"/>
        </w:rPr>
        <w:drawing>
          <wp:anchor distT="0" distB="0" distL="114300" distR="114300" simplePos="0" relativeHeight="251659264" behindDoc="0" locked="0" layoutInCell="1" allowOverlap="1">
            <wp:simplePos x="0" y="0"/>
            <wp:positionH relativeFrom="column">
              <wp:posOffset>344170</wp:posOffset>
            </wp:positionH>
            <wp:positionV relativeFrom="paragraph">
              <wp:posOffset>194310</wp:posOffset>
            </wp:positionV>
            <wp:extent cx="4665980" cy="2150110"/>
            <wp:effectExtent l="5080" t="4445" r="15240" b="74295"/>
            <wp:wrapTopAndBottom/>
            <wp:docPr id="2" name="图表 2" descr="7b0a202020202263686172745265734964223a202235303035333431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2ACA1081">
      <w:pPr>
        <w:spacing w:line="600" w:lineRule="exact"/>
        <w:jc w:val="left"/>
        <w:rPr>
          <w:rFonts w:ascii="楷体_GB2312" w:eastAsia="楷体_GB2312"/>
        </w:rPr>
      </w:pPr>
      <w:r>
        <w:rPr>
          <w:rFonts w:hint="eastAsia" w:ascii="楷体_GB2312" w:eastAsia="楷体_GB2312"/>
        </w:rPr>
        <w:t>（二）依申请公开</w:t>
      </w:r>
    </w:p>
    <w:p w14:paraId="33CE460C">
      <w:pPr>
        <w:spacing w:line="600" w:lineRule="exact"/>
        <w:ind w:firstLine="640" w:firstLineChars="200"/>
        <w:rPr>
          <w:rFonts w:hint="eastAsia" w:ascii="仿宋_GB2312" w:hAnsi="Times New Roman" w:eastAsia="仿宋_GB2312" w:cs="Times New Roman"/>
        </w:rPr>
      </w:pPr>
      <w:r>
        <w:rPr>
          <w:rFonts w:hint="eastAsia" w:ascii="仿宋_GB2312" w:hAnsi="Times New Roman" w:eastAsia="仿宋_GB2312" w:cs="Times New Roman"/>
        </w:rPr>
        <w:t>202</w:t>
      </w:r>
      <w:r>
        <w:rPr>
          <w:rFonts w:hint="eastAsia" w:ascii="仿宋_GB2312" w:hAnsi="Times New Roman" w:eastAsia="仿宋_GB2312" w:cs="Times New Roman"/>
          <w:lang w:val="en-US" w:eastAsia="zh-CN"/>
        </w:rPr>
        <w:t>5</w:t>
      </w:r>
      <w:r>
        <w:rPr>
          <w:rFonts w:hint="eastAsia" w:ascii="仿宋_GB2312" w:hAnsi="Times New Roman" w:eastAsia="仿宋_GB2312" w:cs="Times New Roman"/>
        </w:rPr>
        <w:t>年未收到政府信息公开申请。未因政府信息公开被申请行政复议、提起行政诉讼。</w:t>
      </w:r>
    </w:p>
    <w:p w14:paraId="5A9464B3">
      <w:pPr>
        <w:spacing w:line="560" w:lineRule="exact"/>
        <w:ind w:firstLine="640" w:firstLineChars="200"/>
        <w:rPr>
          <w:rFonts w:ascii="楷体_GB2312" w:eastAsia="楷体_GB2312"/>
          <w:sz w:val="32"/>
          <w:szCs w:val="32"/>
        </w:rPr>
      </w:pPr>
      <w:r>
        <w:rPr>
          <w:rFonts w:hint="eastAsia" w:ascii="楷体_GB2312" w:eastAsia="楷体_GB2312"/>
          <w:sz w:val="32"/>
          <w:szCs w:val="32"/>
        </w:rPr>
        <w:t>（三）政府信息管理</w:t>
      </w:r>
    </w:p>
    <w:p w14:paraId="4C36434D">
      <w:pPr>
        <w:spacing w:line="600" w:lineRule="exact"/>
        <w:ind w:firstLine="640" w:firstLineChars="200"/>
        <w:rPr>
          <w:rFonts w:hint="eastAsia" w:ascii="仿宋_GB2312" w:hAnsi="Times New Roman" w:eastAsia="仿宋_GB2312" w:cs="Times New Roman"/>
        </w:rPr>
      </w:pPr>
      <w:r>
        <w:rPr>
          <w:rFonts w:hint="eastAsia" w:ascii="仿宋_GB2312" w:hAnsi="Times New Roman" w:eastAsia="仿宋_GB2312" w:cs="Times New Roman"/>
        </w:rPr>
        <w:t>实现政府信息全生命周期精细化管理。聚焦信息动态管理，对已公开信息的准确性、时效性进行系统核查</w:t>
      </w:r>
      <w:r>
        <w:rPr>
          <w:rFonts w:hint="eastAsia" w:ascii="仿宋_GB2312" w:eastAsia="仿宋_GB2312" w:cs="Times New Roman"/>
          <w:lang w:eastAsia="zh-CN"/>
        </w:rPr>
        <w:t>。</w:t>
      </w:r>
      <w:r>
        <w:rPr>
          <w:rFonts w:hint="eastAsia" w:ascii="仿宋_GB2312" w:hAnsi="Times New Roman" w:eastAsia="仿宋_GB2312" w:cs="Times New Roman"/>
        </w:rPr>
        <w:t>强化源头管控，</w:t>
      </w:r>
      <w:r>
        <w:rPr>
          <w:rFonts w:hint="eastAsia" w:ascii="仿宋_GB2312" w:eastAsia="仿宋_GB2312" w:cs="Times New Roman"/>
          <w:lang w:eastAsia="zh-CN"/>
        </w:rPr>
        <w:t>将信息</w:t>
      </w:r>
      <w:r>
        <w:rPr>
          <w:rFonts w:hint="eastAsia" w:ascii="仿宋_GB2312" w:hAnsi="Times New Roman" w:eastAsia="仿宋_GB2312" w:cs="Times New Roman"/>
        </w:rPr>
        <w:t>公开属性作为内部审签流程的前置条件，确保属性认定科学、公开及时。筑牢保密安全防线，将保密审查深度嵌入发布流程。要求所有拟公开信息必须履行由信息提供人、科室负责人及分管领导审核，重点排查涉密、涉敏及个人隐私风险点，实现了“公开”与“安全”的有机统一。</w:t>
      </w:r>
    </w:p>
    <w:p w14:paraId="2D3A2BA4">
      <w:pPr>
        <w:spacing w:line="600" w:lineRule="exact"/>
        <w:jc w:val="left"/>
        <w:rPr>
          <w:rFonts w:ascii="楷体_GB2312" w:eastAsia="楷体_GB2312"/>
        </w:rPr>
      </w:pPr>
      <w:r>
        <w:rPr>
          <w:rFonts w:hint="eastAsia" w:ascii="楷体_GB2312" w:eastAsia="楷体_GB2312"/>
        </w:rPr>
        <w:t>（四）政府信息公开平台建设</w:t>
      </w:r>
    </w:p>
    <w:p w14:paraId="1AE8128B">
      <w:pPr>
        <w:spacing w:line="600" w:lineRule="exact"/>
        <w:ind w:firstLine="640" w:firstLineChars="200"/>
        <w:rPr>
          <w:rFonts w:hint="eastAsia" w:ascii="仿宋_GB2312" w:hAnsi="Times New Roman" w:eastAsia="仿宋_GB2312" w:cs="Times New Roman"/>
        </w:rPr>
      </w:pPr>
      <w:r>
        <w:rPr>
          <w:rFonts w:hint="eastAsia" w:ascii="仿宋_GB2312" w:hAnsi="Times New Roman" w:eastAsia="仿宋_GB2312" w:cs="Times New Roman"/>
        </w:rPr>
        <w:t>提升县政府门户网站</w:t>
      </w:r>
      <w:r>
        <w:rPr>
          <w:rFonts w:hint="eastAsia" w:ascii="仿宋_GB2312" w:eastAsia="仿宋_GB2312" w:cs="Times New Roman"/>
          <w:lang w:eastAsia="zh-CN"/>
        </w:rPr>
        <w:t>栏目设置</w:t>
      </w:r>
      <w:r>
        <w:rPr>
          <w:rFonts w:hint="eastAsia" w:ascii="仿宋_GB2312" w:hAnsi="Times New Roman" w:eastAsia="仿宋_GB2312" w:cs="Times New Roman"/>
        </w:rPr>
        <w:t>的规范性。对“机构职能”、“</w:t>
      </w:r>
      <w:r>
        <w:rPr>
          <w:rFonts w:hint="eastAsia" w:ascii="仿宋_GB2312" w:hAnsi="Times New Roman" w:eastAsia="仿宋_GB2312" w:cs="Times New Roman"/>
          <w:lang w:val="en-US" w:eastAsia="zh-CN"/>
        </w:rPr>
        <w:t>重要部署执行</w:t>
      </w:r>
      <w:r>
        <w:rPr>
          <w:rFonts w:hint="eastAsia" w:ascii="仿宋_GB2312" w:hAnsi="Times New Roman" w:eastAsia="仿宋_GB2312" w:cs="Times New Roman"/>
        </w:rPr>
        <w:t>”等栏目进行了内容梳理，强化了信息发布的标准化，确保栏目信息准确、分类清晰，方便公众查询。年内未新建独立政务新媒体账号，也未有关停注销账号的情况。</w:t>
      </w:r>
    </w:p>
    <w:p w14:paraId="25DA4E23">
      <w:pPr>
        <w:spacing w:line="600" w:lineRule="exact"/>
        <w:jc w:val="left"/>
        <w:rPr>
          <w:rFonts w:ascii="楷体_GB2312" w:eastAsia="楷体_GB2312"/>
        </w:rPr>
      </w:pPr>
      <w:r>
        <w:rPr>
          <w:rFonts w:hint="eastAsia" w:ascii="楷体_GB2312" w:eastAsia="楷体_GB2312"/>
        </w:rPr>
        <w:t>（五）监督保障</w:t>
      </w:r>
    </w:p>
    <w:p w14:paraId="3DEA3C1C">
      <w:pPr>
        <w:spacing w:line="600" w:lineRule="exact"/>
        <w:ind w:firstLine="640" w:firstLineChars="200"/>
        <w:rPr>
          <w:rFonts w:hint="eastAsia" w:ascii="仿宋_GB2312" w:hAnsi="Times New Roman" w:eastAsia="仿宋_GB2312" w:cs="Times New Roman"/>
        </w:rPr>
      </w:pPr>
      <w:r>
        <w:rPr>
          <w:rFonts w:hint="eastAsia" w:ascii="仿宋_GB2312" w:hAnsi="Times New Roman" w:eastAsia="仿宋_GB2312" w:cs="Times New Roman"/>
        </w:rPr>
        <w:t>加强对政务公开工作的组织领导，将其纳入重要议事日程，全年召开专题会议研究部署工作2次，主要负责同志听取汇报并提出明确要求。为提升队伍专业能力，</w:t>
      </w:r>
      <w:r>
        <w:rPr>
          <w:rFonts w:hint="eastAsia" w:ascii="仿宋_GB2312" w:eastAsia="仿宋_GB2312" w:cs="Times New Roman"/>
          <w:lang w:eastAsia="zh-CN"/>
        </w:rPr>
        <w:t>全年</w:t>
      </w:r>
      <w:r>
        <w:rPr>
          <w:rFonts w:hint="eastAsia" w:ascii="仿宋_GB2312" w:hAnsi="Times New Roman" w:eastAsia="仿宋_GB2312" w:cs="Times New Roman"/>
        </w:rPr>
        <w:t>组织开展政务公开专题培训2次，重点学习新修订的规章制度、保密审查要求及平台操作实务，有效增强了工作人员的政策把握能力和业务操作水平，为持续提升政务公开工作质效奠定了坚实基础。</w:t>
      </w:r>
    </w:p>
    <w:p w14:paraId="6DE01972">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6C16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21A2FFB">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40B4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A04DB09">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1A046814">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238CB7F4">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3974AB6C">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4CA0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5B9402F">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shd w:val="clear" w:color="auto" w:fill="auto"/>
            <w:vAlign w:val="center"/>
          </w:tcPr>
          <w:p w14:paraId="13279E9B">
            <w:pPr>
              <w:spacing w:line="240" w:lineRule="auto"/>
              <w:ind w:firstLine="0" w:firstLineChars="0"/>
              <w:jc w:val="center"/>
              <w:rPr>
                <w:rFonts w:ascii="Times New Roman" w:hAnsi="Times New Roman" w:eastAsia="黑体" w:cs="Times New Roman"/>
                <w:snapToGrid w:val="0"/>
                <w:kern w:val="0"/>
                <w:sz w:val="20"/>
                <w:szCs w:val="20"/>
                <w:lang w:val="en-US" w:eastAsia="zh-CN" w:bidi="ar-SA"/>
              </w:rPr>
            </w:pPr>
            <w:r>
              <w:rPr>
                <w:rFonts w:eastAsia="黑体"/>
                <w:sz w:val="20"/>
              </w:rPr>
              <w:t>0</w:t>
            </w:r>
          </w:p>
        </w:tc>
        <w:tc>
          <w:tcPr>
            <w:tcW w:w="2131" w:type="dxa"/>
            <w:shd w:val="clear" w:color="auto" w:fill="auto"/>
            <w:vAlign w:val="center"/>
          </w:tcPr>
          <w:p w14:paraId="6F7B7329">
            <w:pPr>
              <w:spacing w:line="240" w:lineRule="auto"/>
              <w:ind w:firstLine="0" w:firstLineChars="0"/>
              <w:jc w:val="center"/>
              <w:rPr>
                <w:rFonts w:ascii="Times New Roman" w:hAnsi="Times New Roman" w:eastAsia="黑体" w:cs="Times New Roman"/>
                <w:snapToGrid w:val="0"/>
                <w:kern w:val="0"/>
                <w:sz w:val="20"/>
                <w:szCs w:val="20"/>
                <w:lang w:val="en-US" w:eastAsia="zh-CN" w:bidi="ar-SA"/>
              </w:rPr>
            </w:pPr>
            <w:r>
              <w:rPr>
                <w:rFonts w:eastAsia="黑体"/>
                <w:sz w:val="20"/>
              </w:rPr>
              <w:t>0</w:t>
            </w:r>
          </w:p>
        </w:tc>
        <w:tc>
          <w:tcPr>
            <w:tcW w:w="2131" w:type="dxa"/>
            <w:shd w:val="clear" w:color="auto" w:fill="auto"/>
            <w:vAlign w:val="center"/>
          </w:tcPr>
          <w:p w14:paraId="33841886">
            <w:pPr>
              <w:spacing w:line="240" w:lineRule="auto"/>
              <w:ind w:firstLine="0" w:firstLineChars="0"/>
              <w:jc w:val="center"/>
              <w:rPr>
                <w:rFonts w:ascii="Times New Roman" w:hAnsi="Times New Roman" w:eastAsia="黑体" w:cs="Times New Roman"/>
                <w:snapToGrid w:val="0"/>
                <w:kern w:val="0"/>
                <w:sz w:val="20"/>
                <w:szCs w:val="20"/>
                <w:lang w:val="en-US" w:eastAsia="zh-CN" w:bidi="ar-SA"/>
              </w:rPr>
            </w:pPr>
            <w:r>
              <w:rPr>
                <w:rFonts w:eastAsia="黑体"/>
                <w:sz w:val="20"/>
              </w:rPr>
              <w:t>0</w:t>
            </w:r>
          </w:p>
        </w:tc>
      </w:tr>
      <w:tr w14:paraId="19FD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B3AADEE">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shd w:val="clear" w:color="auto" w:fill="auto"/>
            <w:vAlign w:val="center"/>
          </w:tcPr>
          <w:p w14:paraId="6BA80943">
            <w:pPr>
              <w:spacing w:line="240" w:lineRule="auto"/>
              <w:ind w:firstLine="0" w:firstLineChars="0"/>
              <w:jc w:val="center"/>
              <w:rPr>
                <w:rFonts w:ascii="Times New Roman" w:hAnsi="Times New Roman" w:eastAsia="黑体" w:cs="Times New Roman"/>
                <w:snapToGrid w:val="0"/>
                <w:kern w:val="0"/>
                <w:sz w:val="20"/>
                <w:szCs w:val="20"/>
                <w:lang w:val="en-US" w:eastAsia="zh-CN" w:bidi="ar-SA"/>
              </w:rPr>
            </w:pPr>
            <w:r>
              <w:rPr>
                <w:rFonts w:eastAsia="黑体"/>
                <w:sz w:val="20"/>
              </w:rPr>
              <w:t>0</w:t>
            </w:r>
          </w:p>
        </w:tc>
        <w:tc>
          <w:tcPr>
            <w:tcW w:w="2131" w:type="dxa"/>
            <w:shd w:val="clear" w:color="auto" w:fill="auto"/>
            <w:vAlign w:val="center"/>
          </w:tcPr>
          <w:p w14:paraId="558D3044">
            <w:pPr>
              <w:spacing w:line="240" w:lineRule="auto"/>
              <w:ind w:firstLine="0" w:firstLineChars="0"/>
              <w:jc w:val="center"/>
              <w:rPr>
                <w:rFonts w:ascii="Times New Roman" w:hAnsi="Times New Roman" w:eastAsia="黑体" w:cs="Times New Roman"/>
                <w:snapToGrid w:val="0"/>
                <w:kern w:val="0"/>
                <w:sz w:val="20"/>
                <w:szCs w:val="20"/>
                <w:lang w:val="en-US" w:eastAsia="zh-CN" w:bidi="ar-SA"/>
              </w:rPr>
            </w:pPr>
            <w:r>
              <w:rPr>
                <w:rFonts w:eastAsia="黑体"/>
                <w:sz w:val="20"/>
              </w:rPr>
              <w:t>0</w:t>
            </w:r>
          </w:p>
        </w:tc>
        <w:tc>
          <w:tcPr>
            <w:tcW w:w="2131" w:type="dxa"/>
            <w:shd w:val="clear" w:color="auto" w:fill="auto"/>
            <w:vAlign w:val="center"/>
          </w:tcPr>
          <w:p w14:paraId="2AA36B2E">
            <w:pPr>
              <w:spacing w:line="240" w:lineRule="auto"/>
              <w:ind w:firstLine="0" w:firstLineChars="0"/>
              <w:jc w:val="center"/>
              <w:rPr>
                <w:rFonts w:ascii="Times New Roman" w:hAnsi="Times New Roman" w:eastAsia="黑体" w:cs="Times New Roman"/>
                <w:snapToGrid w:val="0"/>
                <w:kern w:val="0"/>
                <w:sz w:val="20"/>
                <w:szCs w:val="20"/>
                <w:lang w:val="en-US" w:eastAsia="zh-CN" w:bidi="ar-SA"/>
              </w:rPr>
            </w:pPr>
            <w:r>
              <w:rPr>
                <w:rFonts w:eastAsia="黑体"/>
                <w:sz w:val="20"/>
              </w:rPr>
              <w:t>0</w:t>
            </w:r>
          </w:p>
        </w:tc>
      </w:tr>
      <w:tr w14:paraId="18E1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FA6DFA1">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3F7F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88E61C8">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3E210816">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73D7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CBC868">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5A146B91">
            <w:pPr>
              <w:spacing w:line="240" w:lineRule="auto"/>
              <w:ind w:firstLine="0"/>
              <w:jc w:val="center"/>
              <w:rPr>
                <w:rFonts w:ascii="黑体" w:hAnsi="黑体" w:eastAsia="黑体"/>
                <w:sz w:val="20"/>
              </w:rPr>
            </w:pPr>
            <w:r>
              <w:rPr>
                <w:rFonts w:eastAsia="黑体"/>
                <w:sz w:val="20"/>
              </w:rPr>
              <w:t>0</w:t>
            </w:r>
          </w:p>
        </w:tc>
      </w:tr>
      <w:tr w14:paraId="664C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560E57E">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4B24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C2F96DB">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05BF8E3C">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7DCF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05F82A4">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shd w:val="clear" w:color="auto" w:fill="auto"/>
            <w:vAlign w:val="center"/>
          </w:tcPr>
          <w:p w14:paraId="102C8EBF">
            <w:pPr>
              <w:spacing w:line="240" w:lineRule="auto"/>
              <w:ind w:firstLine="0" w:firstLineChars="0"/>
              <w:jc w:val="center"/>
              <w:rPr>
                <w:rFonts w:ascii="Times New Roman" w:hAnsi="Times New Roman" w:eastAsia="黑体" w:cs="Times New Roman"/>
                <w:snapToGrid w:val="0"/>
                <w:kern w:val="0"/>
                <w:sz w:val="20"/>
                <w:szCs w:val="20"/>
                <w:lang w:val="en-US" w:eastAsia="zh-CN" w:bidi="ar-SA"/>
              </w:rPr>
            </w:pPr>
            <w:r>
              <w:rPr>
                <w:rFonts w:eastAsia="黑体"/>
                <w:sz w:val="20"/>
              </w:rPr>
              <w:t>0</w:t>
            </w:r>
          </w:p>
        </w:tc>
      </w:tr>
      <w:tr w14:paraId="637D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DF5FBD4">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shd w:val="clear" w:color="auto" w:fill="auto"/>
            <w:vAlign w:val="center"/>
          </w:tcPr>
          <w:p w14:paraId="415412C5">
            <w:pPr>
              <w:spacing w:line="240" w:lineRule="auto"/>
              <w:ind w:firstLine="0" w:firstLineChars="0"/>
              <w:jc w:val="center"/>
              <w:rPr>
                <w:rFonts w:ascii="Times New Roman" w:hAnsi="Times New Roman" w:eastAsia="黑体" w:cs="Times New Roman"/>
                <w:snapToGrid w:val="0"/>
                <w:kern w:val="0"/>
                <w:sz w:val="20"/>
                <w:szCs w:val="20"/>
                <w:lang w:val="en-US" w:eastAsia="zh-CN" w:bidi="ar-SA"/>
              </w:rPr>
            </w:pPr>
            <w:r>
              <w:rPr>
                <w:rFonts w:eastAsia="黑体"/>
                <w:sz w:val="20"/>
              </w:rPr>
              <w:t>0</w:t>
            </w:r>
          </w:p>
        </w:tc>
      </w:tr>
      <w:tr w14:paraId="2726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C52C80F">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187F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7DCB354">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7A86CBF4">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55D9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F49292C">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002E0E86">
            <w:pPr>
              <w:spacing w:line="240" w:lineRule="auto"/>
              <w:ind w:firstLine="0"/>
              <w:jc w:val="center"/>
              <w:rPr>
                <w:rFonts w:ascii="黑体" w:hAnsi="黑体" w:eastAsia="黑体"/>
                <w:sz w:val="20"/>
              </w:rPr>
            </w:pPr>
            <w:r>
              <w:rPr>
                <w:rFonts w:eastAsia="黑体"/>
                <w:sz w:val="20"/>
              </w:rPr>
              <w:t>0</w:t>
            </w:r>
          </w:p>
        </w:tc>
      </w:tr>
    </w:tbl>
    <w:p w14:paraId="21E1BF0B">
      <w:pPr>
        <w:spacing w:line="240" w:lineRule="auto"/>
        <w:ind w:firstLine="0"/>
        <w:rPr>
          <w:rFonts w:ascii="黑体" w:hAnsi="黑体" w:eastAsia="黑体"/>
          <w:sz w:val="30"/>
          <w:szCs w:val="30"/>
        </w:rPr>
      </w:pPr>
    </w:p>
    <w:p w14:paraId="07887D1E">
      <w:pPr>
        <w:spacing w:line="240" w:lineRule="auto"/>
        <w:ind w:firstLine="0"/>
        <w:rPr>
          <w:rFonts w:ascii="黑体" w:hAnsi="黑体" w:eastAsia="黑体"/>
          <w:sz w:val="30"/>
          <w:szCs w:val="30"/>
        </w:rPr>
      </w:pPr>
    </w:p>
    <w:p w14:paraId="0C648284">
      <w:pPr>
        <w:spacing w:line="240" w:lineRule="auto"/>
        <w:ind w:firstLine="0"/>
        <w:rPr>
          <w:rFonts w:ascii="黑体" w:hAnsi="黑体" w:eastAsia="黑体"/>
          <w:sz w:val="30"/>
          <w:szCs w:val="30"/>
        </w:rPr>
      </w:pPr>
    </w:p>
    <w:p w14:paraId="418DDF09">
      <w:pPr>
        <w:spacing w:line="240" w:lineRule="auto"/>
        <w:ind w:firstLine="0"/>
        <w:rPr>
          <w:rFonts w:ascii="黑体" w:hAnsi="黑体" w:eastAsia="黑体"/>
          <w:sz w:val="30"/>
          <w:szCs w:val="30"/>
        </w:rPr>
      </w:pPr>
    </w:p>
    <w:p w14:paraId="72526336">
      <w:pPr>
        <w:spacing w:after="156" w:afterLines="50" w:line="240" w:lineRule="auto"/>
        <w:ind w:firstLine="640" w:firstLineChars="200"/>
        <w:rPr>
          <w:rFonts w:hint="eastAsia" w:ascii="黑体" w:hAnsi="黑体" w:eastAsia="黑体"/>
          <w:szCs w:val="32"/>
        </w:rPr>
      </w:pPr>
    </w:p>
    <w:p w14:paraId="3C4CC51B">
      <w:pPr>
        <w:spacing w:after="156" w:afterLines="50" w:line="240" w:lineRule="auto"/>
        <w:ind w:firstLine="640" w:firstLineChars="200"/>
        <w:rPr>
          <w:rFonts w:hint="eastAsia" w:ascii="黑体" w:hAnsi="黑体" w:eastAsia="黑体"/>
          <w:szCs w:val="32"/>
        </w:rPr>
      </w:pPr>
    </w:p>
    <w:p w14:paraId="67B8CF2E">
      <w:pPr>
        <w:spacing w:after="156" w:afterLines="50" w:line="240" w:lineRule="auto"/>
        <w:ind w:firstLine="640" w:firstLineChars="200"/>
        <w:rPr>
          <w:rFonts w:hint="eastAsia" w:ascii="黑体" w:hAnsi="黑体" w:eastAsia="黑体"/>
          <w:szCs w:val="32"/>
        </w:rPr>
      </w:pPr>
    </w:p>
    <w:p w14:paraId="1AFD6250">
      <w:pPr>
        <w:spacing w:after="156" w:afterLines="50" w:line="240" w:lineRule="auto"/>
        <w:ind w:firstLine="640" w:firstLineChars="200"/>
        <w:rPr>
          <w:rFonts w:hint="eastAsia" w:ascii="黑体" w:hAnsi="黑体" w:eastAsia="黑体"/>
          <w:szCs w:val="32"/>
        </w:rPr>
      </w:pPr>
    </w:p>
    <w:p w14:paraId="15E238B6">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3F827B5F">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278CD096">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D4DC9C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5AC290FA">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88C0E60">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0BBC687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B64058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45C80AE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65E7CB3F">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B4580C1">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0E06A43C">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06CBD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4820481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50533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58CD58F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4BEBA4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92422A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0A7AC6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710402EE">
            <w:pPr>
              <w:widowControl/>
              <w:autoSpaceDE/>
              <w:autoSpaceDN/>
              <w:snapToGrid/>
              <w:spacing w:line="240" w:lineRule="auto"/>
              <w:ind w:firstLine="0"/>
              <w:jc w:val="left"/>
              <w:rPr>
                <w:rFonts w:ascii="宋体" w:hAnsi="宋体" w:eastAsia="宋体" w:cs="宋体"/>
                <w:snapToGrid/>
                <w:sz w:val="24"/>
                <w:szCs w:val="24"/>
              </w:rPr>
            </w:pPr>
          </w:p>
        </w:tc>
      </w:tr>
      <w:tr w14:paraId="147C9D64">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03392C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2568B8E">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4B36BB">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904B7B">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EA01EE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F487D5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8AC0E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A0FEE0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61A81AF8">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1C95A9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DF94464">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2D7956">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E40273">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6E36E2">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75B730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1558A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998623D">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270AC2FE">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428B645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1D5650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10D0464">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146EB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520F5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90EB22">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853021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DF23E3">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303ED3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45F4B4D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683053D">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EA5E5E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BDDE962">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C9FD7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A8289E">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5E5A20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CA4952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2EFF65">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DAD880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2FA20BE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00E6C4">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EC74F1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A44D7C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19CDAE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6AB7FB">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BFDCE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C7958E">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C084A0B">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ADE09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2C6FB9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205C40A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FB94167">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E5DB06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B4E1EC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A00EFE4">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E3138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C6E95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7FFD195">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C68D90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C1A48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860390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55D9990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375C14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7831FD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7E272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DF0E0B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ED78E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63E2F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9D194E6">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BEC488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4F278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CB3725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5E5EC96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9C1C56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91BEE1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989EE8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D505A2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013E3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6EFF1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122F0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D29AD46">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B15A1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B87642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0BBFAD3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4EE6E3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9BF50D6">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767A1A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2417AB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0A20BB">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6960C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04B7DE1">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69D0CC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FF880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247565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3E632EE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15EBD6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C2D19B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8DBCC5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DAE1D9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E62CC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7C4776">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F2E88ED">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4BD345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12719E">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E257C45">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108C341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6515AD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D7EF7B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590B44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DACEC0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19FD2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0226B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8D4FA8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A2199B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3AA5F2">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748FCF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1D0E82F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7F0BFA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202E15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0448BA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C9E9C83">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2CB672">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56F22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57A75BD">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F6D8D9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09E02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064AA25">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32E0EA1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9B0494A">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0BD83B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93F8C6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AEFBE1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5D908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830865">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53B1671">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5B3D2A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C61A24">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8ACA0C5">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4AC996B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5F15C4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E8B777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D31E67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9032564">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8A58EB">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0DB8A6">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144550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D82260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2D561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251A73E">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759E961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75C1ED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2C523D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35DF5D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361307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61A911">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13F1A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B72F8E2">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D094174">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9E3CB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A3C420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77436D2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DEA84CF">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7163A7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C94783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DF7CDEB">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1ED9A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5B8731">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FA4A6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0C5CDB1">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F0921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1A985E3">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6E4E72D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B24348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0EEE56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506D47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13597D6">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3EF3A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E92C6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DCE8DD1">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BF5F15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4028C1">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FEE0EF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395BA4C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565FC2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CD1B2C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66CAAC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113B4A1">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8D86B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25AF2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AF0D341">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A7AEBE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5DB56E">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945012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73215F2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E68498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66CCFD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DD7DCC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58A9E8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B0359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A21B7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AED177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249691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5B822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8AA557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6A9F188A">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5FAF7BA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F558D3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7034EA9D">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1C8993B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24D679A3">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6133620E">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36D973C2">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067B968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9A54D4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75D13C46">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42E1F7B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594614">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37C3819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6F891E1">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6AFED3B">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3173AB">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CE3BCE">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8F65B5C">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8A6BA7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888C9A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82663F3">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5C8FD32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94AD44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1162A3C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F0DE6D8">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A6AB21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E4E853">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8CDD0D">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9B75A51">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4F5A09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0823C2">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8DAAB26">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3A92D9B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C0C752">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2A5803E5">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9836AC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39704B">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297222">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EAEF81">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5B52A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55C2DC3">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457EBF">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E67098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3F00559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43CD644">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F84579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7790ABA">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5BD2B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C88EC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295CB3">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26C6A4D">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0DC4F9">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4C64FF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r w14:paraId="068E3530">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5CDC67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C9DE663">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419F15">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59A8D7">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2673F26">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DCAD1E6">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03CF38">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382BA40">
            <w:pPr>
              <w:widowControl/>
              <w:autoSpaceDE/>
              <w:autoSpaceDN/>
              <w:snapToGrid/>
              <w:spacing w:line="240" w:lineRule="auto"/>
              <w:ind w:firstLine="0" w:firstLineChars="0"/>
              <w:jc w:val="center"/>
              <w:rPr>
                <w:rFonts w:ascii="宋体" w:hAnsi="宋体" w:eastAsia="宋体" w:cs="宋体"/>
                <w:snapToGrid/>
                <w:sz w:val="24"/>
                <w:szCs w:val="24"/>
              </w:rPr>
            </w:pPr>
            <w:r>
              <w:rPr>
                <w:rFonts w:eastAsia="仿宋_GB2312"/>
                <w:snapToGrid/>
                <w:sz w:val="20"/>
              </w:rPr>
              <w:t>0</w:t>
            </w:r>
          </w:p>
        </w:tc>
      </w:tr>
    </w:tbl>
    <w:p w14:paraId="3A14C46C">
      <w:pPr>
        <w:spacing w:line="240" w:lineRule="auto"/>
        <w:ind w:firstLine="600" w:firstLineChars="200"/>
        <w:rPr>
          <w:rFonts w:ascii="黑体" w:hAnsi="黑体" w:eastAsia="黑体"/>
          <w:sz w:val="30"/>
          <w:szCs w:val="30"/>
        </w:rPr>
      </w:pPr>
    </w:p>
    <w:p w14:paraId="3686A147">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0D3977C">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DD680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7C4B4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161DEF8D">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B1710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D20A2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340BF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52E22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4D7B1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0A15C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4CDC6A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7CAA0410">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6495072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2466CFF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1EE1ED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3C49DC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ADB9816">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AE877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E1511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3CAAA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0B342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B23DC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4846A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D03013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B3BD1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D826A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F6CFD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1D91DF74">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4080CB">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460BD4">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5B1EE2">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8708C3">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7852AF">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C927AC">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D02251">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FDF6B77">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79324AD">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2A0BA4E">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8FE2B7">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EEE727">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DA5303">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9C8ED7">
            <w:pPr>
              <w:widowControl/>
              <w:autoSpaceDE/>
              <w:autoSpaceDN/>
              <w:snapToGrid/>
              <w:spacing w:line="240" w:lineRule="auto"/>
              <w:ind w:firstLine="0" w:firstLineChars="0"/>
              <w:jc w:val="center"/>
              <w:rPr>
                <w:rFonts w:ascii="Times New Roman" w:hAnsi="Times New Roman" w:eastAsia="宋体" w:cs="Times New Roman"/>
                <w:snapToGrid/>
                <w:kern w:val="0"/>
                <w:sz w:val="24"/>
                <w:szCs w:val="24"/>
                <w:lang w:val="en-US" w:eastAsia="zh-CN" w:bidi="ar-SA"/>
              </w:rPr>
            </w:pPr>
            <w:r>
              <w:rPr>
                <w:rFonts w:eastAsia="仿宋_GB2312"/>
                <w:snapToGrid/>
                <w:sz w:val="20"/>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35EB1F">
            <w:pPr>
              <w:widowControl/>
              <w:autoSpaceDE/>
              <w:autoSpaceDN/>
              <w:snapToGrid/>
              <w:spacing w:line="240" w:lineRule="auto"/>
              <w:ind w:firstLine="0" w:firstLineChars="0"/>
              <w:jc w:val="center"/>
              <w:rPr>
                <w:rFonts w:ascii="Times New Roman" w:hAnsi="Times New Roman" w:eastAsia="宋体" w:cs="Times New Roman"/>
                <w:snapToGrid/>
                <w:kern w:val="0"/>
                <w:sz w:val="20"/>
                <w:szCs w:val="20"/>
                <w:lang w:val="en-US" w:eastAsia="zh-CN" w:bidi="ar-SA"/>
              </w:rPr>
            </w:pPr>
            <w:r>
              <w:rPr>
                <w:rFonts w:eastAsia="仿宋_GB2312"/>
                <w:snapToGrid/>
                <w:sz w:val="20"/>
              </w:rPr>
              <w:t>0</w:t>
            </w:r>
          </w:p>
        </w:tc>
      </w:tr>
    </w:tbl>
    <w:p w14:paraId="0DB2E35E">
      <w:pPr>
        <w:spacing w:line="240" w:lineRule="auto"/>
        <w:ind w:firstLine="640" w:firstLineChars="200"/>
        <w:rPr>
          <w:rFonts w:ascii="黑体" w:hAnsi="黑体" w:eastAsia="黑体"/>
          <w:szCs w:val="32"/>
        </w:rPr>
      </w:pPr>
    </w:p>
    <w:p w14:paraId="425A3F48">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14:paraId="23EB52E4">
      <w:pPr>
        <w:spacing w:line="560" w:lineRule="exact"/>
        <w:ind w:firstLine="640" w:firstLineChars="200"/>
        <w:jc w:val="left"/>
        <w:rPr>
          <w:rFonts w:ascii="楷体_GB2312" w:eastAsia="楷体_GB2312"/>
          <w:sz w:val="32"/>
          <w:szCs w:val="32"/>
        </w:rPr>
      </w:pPr>
      <w:r>
        <w:rPr>
          <w:rFonts w:hint="eastAsia" w:ascii="楷体_GB2312" w:eastAsia="楷体_GB2312"/>
          <w:sz w:val="32"/>
          <w:szCs w:val="32"/>
        </w:rPr>
        <w:t>（一）存在问题</w:t>
      </w:r>
    </w:p>
    <w:p w14:paraId="6787379F">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一是</w:t>
      </w:r>
      <w:r>
        <w:rPr>
          <w:rFonts w:hint="eastAsia" w:ascii="仿宋_GB2312" w:eastAsia="仿宋_GB2312" w:cs="Times New Roman"/>
          <w:sz w:val="32"/>
          <w:szCs w:val="32"/>
          <w:lang w:eastAsia="zh-CN"/>
        </w:rPr>
        <w:t>信息公开</w:t>
      </w:r>
      <w:r>
        <w:rPr>
          <w:rFonts w:hint="eastAsia" w:ascii="仿宋_GB2312" w:hAnsi="Times New Roman" w:eastAsia="仿宋_GB2312" w:cs="Times New Roman"/>
          <w:sz w:val="32"/>
          <w:szCs w:val="32"/>
        </w:rPr>
        <w:t>系统性有待提升，信息发布存在“零散化”现象，未能完全形成与重点工作同谋划、同推进的协同机制。</w:t>
      </w:r>
    </w:p>
    <w:p w14:paraId="51A1450A">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二是</w:t>
      </w:r>
      <w:r>
        <w:rPr>
          <w:rFonts w:hint="default" w:ascii="仿宋_GB2312" w:hAnsi="Times New Roman" w:eastAsia="仿宋_GB2312" w:cs="Times New Roman"/>
          <w:sz w:val="32"/>
          <w:szCs w:val="32"/>
        </w:rPr>
        <w:t>对已公开信息的动态管理有待加强，对机构职能、联系方式等基础信息发生变动后的更新跟进不够及时，存在信息滞后现象。</w:t>
      </w:r>
    </w:p>
    <w:p w14:paraId="73DA9318">
      <w:pPr>
        <w:spacing w:line="560" w:lineRule="exact"/>
        <w:ind w:firstLine="640" w:firstLineChars="200"/>
        <w:jc w:val="left"/>
        <w:rPr>
          <w:rFonts w:ascii="楷体_GB2312" w:eastAsia="楷体_GB2312"/>
          <w:sz w:val="32"/>
          <w:szCs w:val="32"/>
        </w:rPr>
      </w:pPr>
      <w:r>
        <w:rPr>
          <w:rFonts w:hint="eastAsia" w:ascii="楷体_GB2312" w:eastAsia="楷体_GB2312"/>
          <w:sz w:val="32"/>
          <w:szCs w:val="32"/>
        </w:rPr>
        <w:t>（二）改进情况</w:t>
      </w:r>
    </w:p>
    <w:p w14:paraId="5D058037">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一是建立《政务公开重点工作协同推进清单》，建立信息发布协同机制，将信息公开与重点工作同步规划、同步落实，加强统筹整合，避免信息零散化。</w:t>
      </w:r>
    </w:p>
    <w:p w14:paraId="7503FCD1">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二是完善政务公开信息动态更新机制</w:t>
      </w:r>
      <w:r>
        <w:rPr>
          <w:rFonts w:hint="eastAsia" w:ascii="仿宋_GB2312" w:eastAsia="仿宋_GB2312" w:cs="Times New Roman"/>
          <w:sz w:val="32"/>
          <w:szCs w:val="32"/>
          <w:lang w:val="en-US" w:eastAsia="zh-CN"/>
        </w:rPr>
        <w:t>，</w:t>
      </w:r>
      <w:r>
        <w:rPr>
          <w:rFonts w:hint="default" w:ascii="仿宋_GB2312" w:hAnsi="Times New Roman" w:eastAsia="仿宋_GB2312" w:cs="Times New Roman"/>
          <w:sz w:val="32"/>
          <w:szCs w:val="32"/>
          <w:lang w:val="en-US" w:eastAsia="zh-CN"/>
        </w:rPr>
        <w:t>由综合科2个工作日内负责同步完成线上更新，确保了前端发布信息的时效性。</w:t>
      </w:r>
    </w:p>
    <w:p w14:paraId="50197022">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14:paraId="1F813B15">
      <w:pPr>
        <w:spacing w:line="560" w:lineRule="exact"/>
        <w:ind w:firstLine="640" w:firstLineChars="200"/>
        <w:jc w:val="left"/>
        <w:rPr>
          <w:rFonts w:hint="eastAsia" w:ascii="楷体_GB2312" w:eastAsia="楷体_GB2312"/>
          <w:sz w:val="32"/>
          <w:szCs w:val="32"/>
        </w:rPr>
      </w:pPr>
      <w:r>
        <w:rPr>
          <w:rFonts w:hint="eastAsia" w:ascii="楷体_GB2312" w:eastAsia="楷体_GB2312"/>
          <w:sz w:val="32"/>
          <w:szCs w:val="32"/>
        </w:rPr>
        <w:t>（一）政府信息公开信息处理费收取情况</w:t>
      </w:r>
    </w:p>
    <w:p w14:paraId="72E7B288">
      <w:pPr>
        <w:spacing w:line="560" w:lineRule="exact"/>
        <w:ind w:firstLine="640" w:firstLineChars="200"/>
        <w:rPr>
          <w:rFonts w:ascii="仿宋_GB2312" w:eastAsia="仿宋_GB2312"/>
          <w:sz w:val="32"/>
          <w:szCs w:val="32"/>
        </w:rPr>
      </w:pPr>
      <w:r>
        <w:rPr>
          <w:rFonts w:hint="eastAsia" w:ascii="仿宋_GB2312" w:eastAsia="仿宋_GB2312"/>
          <w:sz w:val="3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eastAsia" w:ascii="仿宋_GB2312" w:eastAsia="仿宋_GB2312"/>
          <w:sz w:val="32"/>
          <w:szCs w:val="32"/>
          <w:lang w:val="en-US" w:eastAsia="zh-CN"/>
        </w:rPr>
        <w:t>5</w:t>
      </w:r>
      <w:r>
        <w:rPr>
          <w:rFonts w:hint="eastAsia" w:ascii="仿宋_GB2312" w:eastAsia="仿宋_GB2312"/>
          <w:sz w:val="32"/>
          <w:szCs w:val="32"/>
        </w:rPr>
        <w:t>年本机关依申请公开政府信息未收取任何费用。</w:t>
      </w:r>
    </w:p>
    <w:p w14:paraId="083A865A">
      <w:pPr>
        <w:spacing w:line="560" w:lineRule="exact"/>
        <w:ind w:firstLine="640" w:firstLineChars="200"/>
        <w:jc w:val="left"/>
        <w:rPr>
          <w:rFonts w:hint="eastAsia" w:ascii="楷体_GB2312" w:eastAsia="楷体_GB2312"/>
          <w:sz w:val="32"/>
          <w:szCs w:val="32"/>
        </w:rPr>
      </w:pPr>
      <w:r>
        <w:rPr>
          <w:rFonts w:hint="eastAsia" w:ascii="楷体_GB2312" w:eastAsia="楷体_GB2312"/>
          <w:sz w:val="32"/>
          <w:szCs w:val="32"/>
        </w:rPr>
        <w:t>（二）落实上级年度政务公开工作要点情况</w:t>
      </w:r>
    </w:p>
    <w:p w14:paraId="57207680">
      <w:pPr>
        <w:spacing w:line="56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严格落实国家和省市县政务公开工作要点，并根据《高青县人民政府办公室关于印发202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年高青县政务公开工作方案的通知》要求，制定了《高青县</w:t>
      </w:r>
      <w:r>
        <w:rPr>
          <w:rFonts w:hint="eastAsia" w:ascii="Times New Roman" w:hAnsi="Times New Roman" w:eastAsia="仿宋_GB2312" w:cs="仿宋_GB2312"/>
          <w:sz w:val="32"/>
          <w:szCs w:val="32"/>
          <w:lang w:val="en-US" w:eastAsia="zh-CN"/>
        </w:rPr>
        <w:t>投资促进中心</w:t>
      </w:r>
      <w:r>
        <w:rPr>
          <w:rFonts w:hint="eastAsia" w:ascii="Times New Roman" w:hAnsi="Times New Roman" w:eastAsia="仿宋_GB2312" w:cs="仿宋_GB2312"/>
          <w:sz w:val="32"/>
          <w:szCs w:val="32"/>
        </w:rPr>
        <w:t>政务公开工作方案》，明确了重点任务、工作标准和完成时限。一是健全工作机制，修订内部信息公开流程，完善发布审核、动态更新等制度，强化各科室协同。二是强化平台运维，以县政府门户网站为主阵地，做好栏目日常维护与内容保障，确保法定信息及时、准确发布。三是注重能力建设，组织专题培训，提升工作人员业务素养，并加强日常督查，将公开工作纳入内部管理范畴，保障各项任务有效落实。</w:t>
      </w:r>
    </w:p>
    <w:p w14:paraId="55A4AF16">
      <w:pPr>
        <w:spacing w:line="560" w:lineRule="exact"/>
        <w:ind w:firstLine="640" w:firstLineChars="200"/>
        <w:jc w:val="left"/>
        <w:rPr>
          <w:rFonts w:hint="eastAsia" w:ascii="楷体_GB2312" w:eastAsia="楷体_GB2312"/>
          <w:sz w:val="32"/>
          <w:szCs w:val="32"/>
        </w:rPr>
      </w:pPr>
      <w:r>
        <w:rPr>
          <w:rFonts w:hint="eastAsia" w:ascii="楷体_GB2312" w:eastAsia="楷体_GB2312"/>
          <w:sz w:val="32"/>
          <w:szCs w:val="32"/>
        </w:rPr>
        <w:t>（三）人大代表建议和政协委员提案办理结果公开情况</w:t>
      </w:r>
    </w:p>
    <w:p w14:paraId="61100978">
      <w:pPr>
        <w:spacing w:line="560" w:lineRule="exact"/>
        <w:ind w:firstLine="640" w:firstLineChars="200"/>
        <w:rPr>
          <w:rFonts w:ascii="Times New Roman" w:hAnsi="Times New Roman" w:eastAsia="仿宋_GB2312" w:cs="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年共承办县政协十五届</w:t>
      </w:r>
      <w:r>
        <w:rPr>
          <w:rFonts w:hint="eastAsia" w:ascii="仿宋_GB2312" w:eastAsia="仿宋_GB2312"/>
          <w:sz w:val="32"/>
          <w:szCs w:val="32"/>
          <w:lang w:eastAsia="zh-CN"/>
        </w:rPr>
        <w:t>四</w:t>
      </w:r>
      <w:r>
        <w:rPr>
          <w:rFonts w:hint="eastAsia" w:ascii="仿宋_GB2312" w:eastAsia="仿宋_GB2312"/>
          <w:sz w:val="32"/>
          <w:szCs w:val="32"/>
        </w:rPr>
        <w:t>次会议提案</w:t>
      </w:r>
      <w:r>
        <w:rPr>
          <w:rFonts w:hint="eastAsia" w:ascii="仿宋_GB2312" w:eastAsia="仿宋_GB2312"/>
          <w:sz w:val="32"/>
          <w:szCs w:val="32"/>
          <w:lang w:val="en-US" w:eastAsia="zh-CN"/>
        </w:rPr>
        <w:t>3</w:t>
      </w:r>
      <w:r>
        <w:rPr>
          <w:rFonts w:hint="eastAsia" w:ascii="仿宋_GB2312" w:eastAsia="仿宋_GB2312"/>
          <w:sz w:val="32"/>
          <w:szCs w:val="32"/>
        </w:rPr>
        <w:t>件，办复率为100%。</w:t>
      </w:r>
      <w:r>
        <w:rPr>
          <w:rFonts w:hint="eastAsia" w:ascii="Times New Roman" w:hAnsi="Times New Roman" w:eastAsia="仿宋_GB2312" w:cs="仿宋_GB2312"/>
          <w:sz w:val="32"/>
          <w:szCs w:val="32"/>
        </w:rPr>
        <w:t>除涉及国家秘密、工作秘密的，所有建议提案办理复文或摘要以及办理总体情况均在县政府门户网站</w:t>
      </w:r>
      <w:r>
        <w:rPr>
          <w:rFonts w:hint="eastAsia" w:ascii="仿宋_GB2312" w:eastAsia="仿宋_GB2312"/>
          <w:sz w:val="32"/>
          <w:szCs w:val="32"/>
        </w:rPr>
        <w:t>建议提案办理专题</w:t>
      </w:r>
      <w:r>
        <w:rPr>
          <w:rFonts w:hint="eastAsia" w:ascii="Times New Roman" w:hAnsi="Times New Roman" w:eastAsia="仿宋_GB2312" w:cs="仿宋_GB2312"/>
          <w:sz w:val="32"/>
          <w:szCs w:val="32"/>
        </w:rPr>
        <w:t>中予以公开。</w:t>
      </w:r>
    </w:p>
    <w:p w14:paraId="4FFB8932">
      <w:pPr>
        <w:spacing w:line="560" w:lineRule="exact"/>
        <w:ind w:firstLine="640" w:firstLineChars="200"/>
        <w:jc w:val="left"/>
        <w:rPr>
          <w:rFonts w:hint="eastAsia" w:ascii="楷体_GB2312" w:eastAsia="楷体_GB2312"/>
          <w:sz w:val="32"/>
          <w:szCs w:val="32"/>
        </w:rPr>
      </w:pPr>
      <w:r>
        <w:rPr>
          <w:rFonts w:hint="eastAsia" w:ascii="楷体_GB2312" w:eastAsia="楷体_GB2312"/>
          <w:sz w:val="32"/>
          <w:szCs w:val="32"/>
        </w:rPr>
        <w:t>（四）政务公开工作创新情况</w:t>
      </w:r>
    </w:p>
    <w:p w14:paraId="1718ED7A">
      <w:pPr>
        <w:spacing w:line="560" w:lineRule="exact"/>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针对各科室在准备公开材料时存在的标准差异，编制内部使用的《政务公开常见材料编报指南》，明确了常见材料的格式规范与核心要素，为工作人员提供了清晰实用的操作指引，有效促进了日常工作输出的规范性与一致性。</w:t>
      </w:r>
    </w:p>
    <w:p w14:paraId="29C2584A">
      <w:pPr>
        <w:spacing w:line="560" w:lineRule="exact"/>
        <w:ind w:firstLine="640" w:firstLineChars="200"/>
        <w:jc w:val="left"/>
        <w:rPr>
          <w:rFonts w:hint="eastAsia" w:ascii="楷体_GB2312" w:eastAsia="楷体_GB2312"/>
          <w:sz w:val="32"/>
          <w:szCs w:val="32"/>
        </w:rPr>
      </w:pPr>
      <w:r>
        <w:rPr>
          <w:rFonts w:hint="eastAsia" w:ascii="楷体_GB2312" w:eastAsia="楷体_GB2312"/>
          <w:sz w:val="32"/>
          <w:szCs w:val="32"/>
        </w:rPr>
        <w:t>（五）有关数据统计说明</w:t>
      </w:r>
    </w:p>
    <w:p w14:paraId="2B380A2C">
      <w:pPr>
        <w:spacing w:line="560" w:lineRule="exact"/>
        <w:ind w:firstLine="640" w:firstLineChars="200"/>
        <w:rPr>
          <w:rFonts w:ascii="仿宋_GB2312" w:eastAsia="仿宋_GB2312"/>
          <w:sz w:val="32"/>
          <w:szCs w:val="32"/>
        </w:rPr>
      </w:pPr>
      <w:r>
        <w:rPr>
          <w:rFonts w:hint="eastAsia" w:ascii="仿宋_GB2312" w:eastAsia="仿宋_GB2312"/>
          <w:sz w:val="32"/>
          <w:szCs w:val="32"/>
        </w:rPr>
        <w:t>1.报告中所列数据可能因四舍五入原因与数据直接相加之和存在尾数差异。</w:t>
      </w:r>
    </w:p>
    <w:p w14:paraId="47B69B63">
      <w:pPr>
        <w:spacing w:line="560" w:lineRule="exact"/>
        <w:ind w:firstLine="640" w:firstLineChars="200"/>
        <w:rPr>
          <w:rFonts w:ascii="仿宋_GB2312" w:eastAsia="仿宋_GB2312"/>
          <w:sz w:val="32"/>
          <w:szCs w:val="32"/>
        </w:rPr>
      </w:pPr>
      <w:r>
        <w:rPr>
          <w:rFonts w:hint="eastAsia" w:ascii="仿宋_GB2312" w:eastAsia="仿宋_GB2312"/>
          <w:sz w:val="32"/>
          <w:szCs w:val="32"/>
        </w:rPr>
        <w:t>2.行政许可数量、行政处罚和行政强制数量，包括已公开和依法未公开的全部处理决定。</w:t>
      </w:r>
    </w:p>
    <w:p w14:paraId="66A0C242">
      <w:pPr>
        <w:spacing w:line="560" w:lineRule="exact"/>
        <w:ind w:firstLine="640" w:firstLineChars="200"/>
        <w:rPr>
          <w:rFonts w:ascii="仿宋_GB2312" w:eastAsia="仿宋_GB2312"/>
          <w:sz w:val="32"/>
          <w:szCs w:val="32"/>
        </w:rPr>
      </w:pPr>
      <w:r>
        <w:rPr>
          <w:rFonts w:hint="eastAsia" w:ascii="仿宋_GB2312" w:eastAsia="仿宋_GB2312"/>
          <w:sz w:val="32"/>
          <w:szCs w:val="32"/>
        </w:rPr>
        <w:t>3.行政复议机关作为共同被告的行政诉讼案件，只计算原行为主体的案件数量，不计算行政复议机关的案件数量。</w:t>
      </w:r>
    </w:p>
    <w:p w14:paraId="68D4F1EF">
      <w:pPr>
        <w:spacing w:line="560" w:lineRule="exact"/>
        <w:rPr>
          <w:rFonts w:ascii="楷体_GB2312" w:hAnsi="黑体"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00" w:usb3="00000000" w:csb0="0000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EU-B1">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C1750"/>
    <w:rsid w:val="004D241E"/>
    <w:rsid w:val="00515DB1"/>
    <w:rsid w:val="00523855"/>
    <w:rsid w:val="005422B3"/>
    <w:rsid w:val="00591E5D"/>
    <w:rsid w:val="005B13C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D234BA"/>
    <w:rsid w:val="00E50639"/>
    <w:rsid w:val="00E60B5D"/>
    <w:rsid w:val="00EA0721"/>
    <w:rsid w:val="00ED2963"/>
    <w:rsid w:val="00EF5607"/>
    <w:rsid w:val="00FA216A"/>
    <w:rsid w:val="00FD5381"/>
    <w:rsid w:val="0A3107DC"/>
    <w:rsid w:val="0A9F7CB8"/>
    <w:rsid w:val="0B283352"/>
    <w:rsid w:val="0B430D56"/>
    <w:rsid w:val="1F7D05CB"/>
    <w:rsid w:val="292B1F17"/>
    <w:rsid w:val="320A4680"/>
    <w:rsid w:val="35867372"/>
    <w:rsid w:val="397C551E"/>
    <w:rsid w:val="3D18555E"/>
    <w:rsid w:val="40520A87"/>
    <w:rsid w:val="54957241"/>
    <w:rsid w:val="57FD62E2"/>
    <w:rsid w:val="587A5BE7"/>
    <w:rsid w:val="5B3B5816"/>
    <w:rsid w:val="5E717C34"/>
    <w:rsid w:val="5FF6025B"/>
    <w:rsid w:val="627A2692"/>
    <w:rsid w:val="6DFA0A11"/>
    <w:rsid w:val="75FFA303"/>
    <w:rsid w:val="786B3787"/>
    <w:rsid w:val="7B582C81"/>
    <w:rsid w:val="BDFD9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pacing w:line="240" w:lineRule="atLeast"/>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4">
    <w:name w:val="Normal (Web)"/>
    <w:basedOn w:val="1"/>
    <w:semiHidden/>
    <w:unhideWhenUsed/>
    <w:qFormat/>
    <w:uiPriority w:val="99"/>
    <w:rPr>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qFormat/>
    <w:uiPriority w:val="99"/>
    <w:rPr>
      <w:rFonts w:ascii="Times New Roman" w:hAnsi="Times New Roman" w:eastAsia="方正仿宋_GBK" w:cs="Times New Roman"/>
      <w:snapToGrid w:val="0"/>
      <w:kern w:val="0"/>
      <w:sz w:val="18"/>
      <w:szCs w:val="18"/>
    </w:rPr>
  </w:style>
  <w:style w:type="character" w:customStyle="1" w:styleId="9">
    <w:name w:val="页脚 Char"/>
    <w:basedOn w:val="7"/>
    <w:link w:val="2"/>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政务信息</c:v>
                </c:pt>
              </c:strCache>
            </c:strRef>
          </c:tx>
          <c:spPr>
            <a:ln w="25400" cap="rnd" cmpd="sng">
              <a:solidFill>
                <a:schemeClr val="accent1"/>
              </a:solidFill>
              <a:prstDash val="solid"/>
              <a:round/>
            </a:ln>
            <a:effectLst/>
          </c:spPr>
          <c:marker>
            <c:symbol val="circle"/>
            <c:size val="8"/>
            <c:spPr>
              <a:solidFill>
                <a:schemeClr val="accent1"/>
              </a:solidFill>
              <a:ln w="15875">
                <a:noFill/>
              </a:ln>
              <a:effectLst/>
            </c:spPr>
          </c:marker>
          <c:dLbls>
            <c:delete val="1"/>
          </c:dLbls>
          <c:cat>
            <c:strRef>
              <c:f>Sheet1!$A$2:$A$4</c:f>
              <c:strCache>
                <c:ptCount val="3"/>
                <c:pt idx="0">
                  <c:v>2023年</c:v>
                </c:pt>
                <c:pt idx="1">
                  <c:v>2024年</c:v>
                </c:pt>
                <c:pt idx="2">
                  <c:v>2025年</c:v>
                </c:pt>
              </c:strCache>
            </c:strRef>
          </c:cat>
          <c:val>
            <c:numRef>
              <c:f>Sheet1!$B$2:$B$4</c:f>
              <c:numCache>
                <c:formatCode>General</c:formatCode>
                <c:ptCount val="3"/>
                <c:pt idx="0">
                  <c:v>243</c:v>
                </c:pt>
                <c:pt idx="1">
                  <c:v>280</c:v>
                </c:pt>
                <c:pt idx="2">
                  <c:v>290</c:v>
                </c:pt>
              </c:numCache>
            </c:numRef>
          </c:val>
          <c:smooth val="0"/>
        </c:ser>
        <c:dLbls>
          <c:showLegendKey val="0"/>
          <c:showVal val="0"/>
          <c:showCatName val="0"/>
          <c:showSerName val="0"/>
          <c:showPercent val="0"/>
          <c:showBubbleSize val="0"/>
        </c:dLbls>
        <c:marker val="1"/>
        <c:smooth val="0"/>
        <c:axId val="965596389"/>
        <c:axId val="759845302"/>
      </c:lineChart>
      <c:catAx>
        <c:axId val="965596389"/>
        <c:scaling>
          <c:orientation val="minMax"/>
        </c:scaling>
        <c:delete val="0"/>
        <c:axPos val="b"/>
        <c:numFmt formatCode="General" sourceLinked="1"/>
        <c:majorTickMark val="out"/>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759845302"/>
        <c:crosses val="autoZero"/>
        <c:auto val="1"/>
        <c:lblAlgn val="ctr"/>
        <c:lblOffset val="100"/>
        <c:noMultiLvlLbl val="0"/>
      </c:catAx>
      <c:valAx>
        <c:axId val="759845302"/>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65596389"/>
        <c:crosses val="autoZero"/>
        <c:crossBetween val="between"/>
      </c:valAx>
      <c:spPr>
        <a:noFill/>
        <a:ln>
          <a:noFill/>
        </a:ln>
        <a:effectLst>
          <a:outerShdw blurRad="50800" dist="38100" dir="2700000" algn="tl" rotWithShape="0">
            <a:prstClr val="black">
              <a:alpha val="20000"/>
            </a:prstClr>
          </a:outerShdw>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3fdde6c5-e73a-434f-bd02-3a9bb446d361}"/>
      </c:ext>
    </c:extLst>
  </c:chart>
  <c:spPr>
    <a:solidFill>
      <a:schemeClr val="bg1"/>
    </a:solidFill>
    <a:ln w="6350" cap="rnd"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商务绿">
    <a:dk1>
      <a:srgbClr val="000000"/>
    </a:dk1>
    <a:lt1>
      <a:srgbClr val="FFFFFF"/>
    </a:lt1>
    <a:dk2>
      <a:srgbClr val="44546A"/>
    </a:dk2>
    <a:lt2>
      <a:srgbClr val="E7E6E6"/>
    </a:lt2>
    <a:accent1>
      <a:srgbClr val="1FAF97"/>
    </a:accent1>
    <a:accent2>
      <a:srgbClr val="474747"/>
    </a:accent2>
    <a:accent3>
      <a:srgbClr val="D9D9D9"/>
    </a:accent3>
    <a:accent4>
      <a:srgbClr val="9CD9DF"/>
    </a:accent4>
    <a:accent5>
      <a:srgbClr val="D9F3F6"/>
    </a:accent5>
    <a:accent6>
      <a:srgbClr val="3A6760"/>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Company>gq</Company>
  <Pages>8</Pages>
  <Words>3692</Words>
  <Characters>3826</Characters>
  <Lines>15</Lines>
  <Paragraphs>4</Paragraphs>
  <TotalTime>34</TotalTime>
  <ScaleCrop>false</ScaleCrop>
  <LinksUpToDate>false</LinksUpToDate>
  <CharactersWithSpaces>3826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2022-01-03T01:04:00Z</dcterms:created>
  <dc:creator>lb</dc:creator>
  <cp:lastModifiedBy>user</cp:lastModifiedBy>
  <dcterms:modified xsi:type="dcterms:W3CDTF">2026-02-05T17:18:28Z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eyJoZGlkIjoiMDUzOGE5YzBlMmMxNzJmODE5YTIwYTQ2NzEyNDhlOGUiLCJ1c2VySWQiOiIyNzI5MTg5NjkifQ==</vt:lpwstr>
  </property>
  <property fmtid="{D5CDD505-2E9C-101B-9397-08002B2CF9AE}" pid="3" name="KSOProductBuildVer">
    <vt:lpwstr>2052-12.1.2.23578</vt:lpwstr>
  </property>
  <property fmtid="{D5CDD505-2E9C-101B-9397-08002B2CF9AE}" pid="4" name="ICV">
    <vt:lpwstr>FC7CD57CF53A487C91CD43F125EFDA86_12</vt:lpwstr>
  </property>
</Properties>
</file>