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9BC" w:rsidRDefault="00E963B0">
      <w:pPr>
        <w:spacing w:line="62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高青县投资促进中心</w:t>
      </w:r>
    </w:p>
    <w:p w:rsidR="007039BC" w:rsidRDefault="00E963B0">
      <w:pPr>
        <w:spacing w:line="620" w:lineRule="exact"/>
        <w:ind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2</w:t>
      </w:r>
      <w:r>
        <w:rPr>
          <w:rFonts w:ascii="方正小标宋简体" w:eastAsia="方正小标宋简体" w:hAnsi="方正小标宋简体" w:cs="方正小标宋简体" w:hint="eastAsia"/>
          <w:sz w:val="44"/>
          <w:szCs w:val="44"/>
        </w:rPr>
        <w:t>年政府信息公开工作年度报告</w:t>
      </w:r>
    </w:p>
    <w:p w:rsidR="007039BC" w:rsidRDefault="007039BC">
      <w:pPr>
        <w:spacing w:line="560" w:lineRule="exact"/>
        <w:ind w:firstLineChars="200" w:firstLine="640"/>
        <w:rPr>
          <w:rFonts w:eastAsia="仿宋_GB2312"/>
        </w:rPr>
      </w:pPr>
    </w:p>
    <w:p w:rsidR="007039BC" w:rsidRDefault="00E963B0">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t>本报告根据《中华人民共和国政府信息公开条例》（国务院令第</w:t>
      </w:r>
      <w:r>
        <w:rPr>
          <w:rFonts w:ascii="仿宋_GB2312" w:eastAsia="仿宋_GB2312" w:hAnsi="仿宋_GB2312" w:cs="仿宋_GB2312" w:hint="eastAsia"/>
        </w:rPr>
        <w:t>711</w:t>
      </w:r>
      <w:r>
        <w:rPr>
          <w:rFonts w:ascii="仿宋_GB2312" w:eastAsia="仿宋_GB2312" w:hAnsi="仿宋_GB2312" w:cs="仿宋_GB2312" w:hint="eastAsia"/>
        </w:rPr>
        <w:t>号，以下简称《条例》）</w:t>
      </w:r>
      <w:r>
        <w:rPr>
          <w:rFonts w:ascii="仿宋_GB2312" w:eastAsia="仿宋_GB2312" w:hAnsi="仿宋_GB2312" w:cs="仿宋_GB2312" w:hint="eastAsia"/>
          <w:szCs w:val="32"/>
        </w:rPr>
        <w:t>和《国务院办公厅政府信息与政务公开办公室关于印发</w:t>
      </w:r>
      <w:r>
        <w:rPr>
          <w:rFonts w:ascii="仿宋_GB2312" w:eastAsia="仿宋_GB2312" w:hAnsi="仿宋_GB2312" w:cs="仿宋_GB2312" w:hint="eastAsia"/>
          <w:szCs w:val="32"/>
        </w:rPr>
        <w:t>&lt;</w:t>
      </w:r>
      <w:r>
        <w:rPr>
          <w:rFonts w:ascii="仿宋_GB2312" w:eastAsia="仿宋_GB2312" w:hAnsi="仿宋_GB2312" w:cs="仿宋_GB2312" w:hint="eastAsia"/>
          <w:szCs w:val="32"/>
        </w:rPr>
        <w:t>中华人民共和国政府信息公开工作年度报告格式</w:t>
      </w:r>
      <w:r>
        <w:rPr>
          <w:rFonts w:ascii="仿宋_GB2312" w:eastAsia="仿宋_GB2312" w:hAnsi="仿宋_GB2312" w:cs="仿宋_GB2312" w:hint="eastAsia"/>
          <w:szCs w:val="32"/>
        </w:rPr>
        <w:t>&gt;</w:t>
      </w:r>
      <w:r>
        <w:rPr>
          <w:rFonts w:ascii="仿宋_GB2312" w:eastAsia="仿宋_GB2312" w:hAnsi="仿宋_GB2312" w:cs="仿宋_GB2312" w:hint="eastAsia"/>
          <w:szCs w:val="32"/>
        </w:rPr>
        <w:t>的通知》（国办公开办函〔</w:t>
      </w:r>
      <w:r>
        <w:rPr>
          <w:rFonts w:ascii="仿宋_GB2312" w:eastAsia="仿宋_GB2312" w:hAnsi="仿宋_GB2312" w:cs="仿宋_GB2312" w:hint="eastAsia"/>
          <w:szCs w:val="32"/>
        </w:rPr>
        <w:t>2021</w:t>
      </w:r>
      <w:r>
        <w:rPr>
          <w:rFonts w:ascii="仿宋_GB2312" w:eastAsia="仿宋_GB2312" w:hAnsi="仿宋_GB2312" w:cs="仿宋_GB2312" w:hint="eastAsia"/>
          <w:szCs w:val="32"/>
        </w:rPr>
        <w:t>〕</w:t>
      </w:r>
      <w:r>
        <w:rPr>
          <w:rFonts w:ascii="仿宋_GB2312" w:eastAsia="仿宋_GB2312" w:hAnsi="仿宋_GB2312" w:cs="仿宋_GB2312" w:hint="eastAsia"/>
          <w:szCs w:val="32"/>
        </w:rPr>
        <w:t>30</w:t>
      </w:r>
      <w:r>
        <w:rPr>
          <w:rFonts w:ascii="仿宋_GB2312" w:eastAsia="仿宋_GB2312" w:hAnsi="仿宋_GB2312" w:cs="仿宋_GB2312" w:hint="eastAsia"/>
          <w:szCs w:val="32"/>
        </w:rPr>
        <w:t>号）相关要求编制</w:t>
      </w:r>
      <w:r>
        <w:rPr>
          <w:rFonts w:ascii="仿宋_GB2312" w:eastAsia="仿宋_GB2312" w:hAnsi="仿宋_GB2312" w:cs="仿宋_GB2312" w:hint="eastAsia"/>
        </w:rPr>
        <w:t>。报告全文</w:t>
      </w:r>
      <w:proofErr w:type="gramStart"/>
      <w:r>
        <w:rPr>
          <w:rFonts w:ascii="仿宋_GB2312" w:eastAsia="仿宋_GB2312" w:hAnsi="仿宋_GB2312" w:cs="仿宋_GB2312" w:hint="eastAsia"/>
        </w:rPr>
        <w:t>分总体</w:t>
      </w:r>
      <w:proofErr w:type="gramEnd"/>
      <w:r>
        <w:rPr>
          <w:rFonts w:ascii="仿宋_GB2312" w:eastAsia="仿宋_GB2312" w:hAnsi="仿宋_GB2312" w:cs="仿宋_GB2312" w:hint="eastAsia"/>
        </w:rPr>
        <w:t>情况、主动公开政府信息情况、收到和处理政府信息公开申请情况、政府信息公开行政复议和行政诉讼情况、存在的主要问题及改进情况、其他需要报告的事项</w:t>
      </w:r>
      <w:r>
        <w:rPr>
          <w:rFonts w:ascii="仿宋_GB2312" w:eastAsia="仿宋_GB2312" w:hAnsi="仿宋_GB2312" w:cs="仿宋_GB2312" w:hint="eastAsia"/>
        </w:rPr>
        <w:t>6</w:t>
      </w:r>
      <w:r>
        <w:rPr>
          <w:rFonts w:ascii="仿宋_GB2312" w:eastAsia="仿宋_GB2312" w:hAnsi="仿宋_GB2312" w:cs="仿宋_GB2312" w:hint="eastAsia"/>
        </w:rPr>
        <w:t>个部分。</w:t>
      </w:r>
    </w:p>
    <w:p w:rsidR="007039BC" w:rsidRDefault="00E963B0">
      <w:pPr>
        <w:spacing w:line="580" w:lineRule="exact"/>
        <w:ind w:firstLineChars="200" w:firstLine="640"/>
        <w:rPr>
          <w:rFonts w:ascii="仿宋_GB2312" w:eastAsia="仿宋_GB2312" w:hAnsi="仿宋_GB2312" w:cs="仿宋_GB2312"/>
        </w:rPr>
      </w:pPr>
      <w:r>
        <w:rPr>
          <w:rFonts w:ascii="仿宋_GB2312" w:eastAsia="仿宋_GB2312" w:hAnsi="仿宋_GB2312" w:cs="仿宋_GB2312"/>
        </w:rPr>
        <w:t>报告中所列数据统计期限自</w:t>
      </w:r>
      <w:r>
        <w:rPr>
          <w:rFonts w:ascii="仿宋_GB2312" w:eastAsia="仿宋_GB2312" w:hAnsi="仿宋_GB2312" w:cs="仿宋_GB2312"/>
        </w:rPr>
        <w:t>2022</w:t>
      </w:r>
      <w:r>
        <w:rPr>
          <w:rFonts w:ascii="仿宋_GB2312" w:eastAsia="仿宋_GB2312" w:hAnsi="仿宋_GB2312" w:cs="仿宋_GB2312"/>
        </w:rPr>
        <w:t>年</w:t>
      </w:r>
      <w:r>
        <w:rPr>
          <w:rFonts w:ascii="仿宋_GB2312" w:eastAsia="仿宋_GB2312" w:hAnsi="仿宋_GB2312" w:cs="仿宋_GB2312"/>
        </w:rPr>
        <w:t>1</w:t>
      </w:r>
      <w:r>
        <w:rPr>
          <w:rFonts w:ascii="仿宋_GB2312" w:eastAsia="仿宋_GB2312" w:hAnsi="仿宋_GB2312" w:cs="仿宋_GB2312"/>
        </w:rPr>
        <w:t>月</w:t>
      </w:r>
      <w:r>
        <w:rPr>
          <w:rFonts w:ascii="仿宋_GB2312" w:eastAsia="仿宋_GB2312" w:hAnsi="仿宋_GB2312" w:cs="仿宋_GB2312"/>
        </w:rPr>
        <w:t>1</w:t>
      </w:r>
      <w:r>
        <w:rPr>
          <w:rFonts w:ascii="仿宋_GB2312" w:eastAsia="仿宋_GB2312" w:hAnsi="仿宋_GB2312" w:cs="仿宋_GB2312"/>
        </w:rPr>
        <w:t>日始，至</w:t>
      </w:r>
      <w:r>
        <w:rPr>
          <w:rFonts w:ascii="仿宋_GB2312" w:eastAsia="仿宋_GB2312" w:hAnsi="仿宋_GB2312" w:cs="仿宋_GB2312"/>
        </w:rPr>
        <w:t>2022</w:t>
      </w:r>
      <w:r>
        <w:rPr>
          <w:rFonts w:ascii="仿宋_GB2312" w:eastAsia="仿宋_GB2312" w:hAnsi="仿宋_GB2312" w:cs="仿宋_GB2312"/>
        </w:rPr>
        <w:t>年</w:t>
      </w:r>
      <w:r>
        <w:rPr>
          <w:rFonts w:ascii="仿宋_GB2312" w:eastAsia="仿宋_GB2312" w:hAnsi="仿宋_GB2312" w:cs="仿宋_GB2312"/>
        </w:rPr>
        <w:t>12</w:t>
      </w:r>
      <w:r>
        <w:rPr>
          <w:rFonts w:ascii="仿宋_GB2312" w:eastAsia="仿宋_GB2312" w:hAnsi="仿宋_GB2312" w:cs="仿宋_GB2312"/>
        </w:rPr>
        <w:t>月</w:t>
      </w:r>
      <w:r>
        <w:rPr>
          <w:rFonts w:ascii="仿宋_GB2312" w:eastAsia="仿宋_GB2312" w:hAnsi="仿宋_GB2312" w:cs="仿宋_GB2312"/>
        </w:rPr>
        <w:t>31</w:t>
      </w:r>
      <w:r>
        <w:rPr>
          <w:rFonts w:ascii="仿宋_GB2312" w:eastAsia="仿宋_GB2312" w:hAnsi="仿宋_GB2312" w:cs="仿宋_GB2312"/>
        </w:rPr>
        <w:t>日止。报告电子版可在高青县人民政府门户网站（</w:t>
      </w:r>
      <w:r>
        <w:rPr>
          <w:rFonts w:ascii="仿宋_GB2312" w:eastAsia="仿宋_GB2312" w:hAnsi="仿宋_GB2312" w:cs="仿宋_GB2312"/>
        </w:rPr>
        <w:t>www.gaoqing.gov.cn</w:t>
      </w:r>
      <w:r>
        <w:rPr>
          <w:rFonts w:ascii="仿宋_GB2312" w:eastAsia="仿宋_GB2312" w:hAnsi="仿宋_GB2312" w:cs="仿宋_GB2312"/>
        </w:rPr>
        <w:t>）查阅和下载。如对报告内容有疑问，请与高青县</w:t>
      </w:r>
      <w:r>
        <w:rPr>
          <w:rFonts w:ascii="仿宋_GB2312" w:eastAsia="仿宋_GB2312" w:hAnsi="仿宋_GB2312" w:cs="仿宋_GB2312"/>
        </w:rPr>
        <w:t>XX</w:t>
      </w:r>
      <w:r>
        <w:rPr>
          <w:rFonts w:ascii="仿宋_GB2312" w:eastAsia="仿宋_GB2312" w:hAnsi="仿宋_GB2312" w:cs="仿宋_GB2312"/>
        </w:rPr>
        <w:t>局办公室联系（地址：山东省淄博市高青县清河路</w:t>
      </w:r>
      <w:r>
        <w:rPr>
          <w:rFonts w:ascii="仿宋_GB2312" w:eastAsia="仿宋_GB2312" w:hAnsi="仿宋_GB2312" w:cs="仿宋_GB2312"/>
        </w:rPr>
        <w:t>9</w:t>
      </w:r>
      <w:r>
        <w:rPr>
          <w:rFonts w:ascii="仿宋_GB2312" w:eastAsia="仿宋_GB2312" w:hAnsi="仿宋_GB2312" w:cs="仿宋_GB2312"/>
        </w:rPr>
        <w:t>号；邮编：</w:t>
      </w:r>
      <w:r>
        <w:rPr>
          <w:rFonts w:ascii="仿宋_GB2312" w:eastAsia="仿宋_GB2312" w:hAnsi="仿宋_GB2312" w:cs="仿宋_GB2312"/>
        </w:rPr>
        <w:t>256300</w:t>
      </w:r>
      <w:r>
        <w:rPr>
          <w:rFonts w:ascii="仿宋_GB2312" w:eastAsia="仿宋_GB2312" w:hAnsi="仿宋_GB2312" w:cs="仿宋_GB2312"/>
        </w:rPr>
        <w:t>；电话：</w:t>
      </w:r>
      <w:r>
        <w:rPr>
          <w:rFonts w:ascii="仿宋_GB2312" w:eastAsia="仿宋_GB2312" w:hAnsi="仿宋_GB2312" w:cs="仿宋_GB2312"/>
        </w:rPr>
        <w:t>0533-6967699</w:t>
      </w:r>
      <w:r>
        <w:rPr>
          <w:rFonts w:ascii="仿宋_GB2312" w:eastAsia="仿宋_GB2312" w:hAnsi="仿宋_GB2312" w:cs="仿宋_GB2312"/>
        </w:rPr>
        <w:t>；电子邮箱：</w:t>
      </w:r>
      <w:r>
        <w:rPr>
          <w:rFonts w:ascii="仿宋_GB2312" w:eastAsia="仿宋_GB2312" w:hAnsi="仿宋_GB2312" w:cs="仿宋_GB2312"/>
        </w:rPr>
        <w:t>gqxzsj@zb.shandong.cn</w:t>
      </w:r>
      <w:r>
        <w:rPr>
          <w:rFonts w:ascii="仿宋_GB2312" w:eastAsia="仿宋_GB2312" w:hAnsi="仿宋_GB2312" w:cs="仿宋_GB2312"/>
        </w:rPr>
        <w:t>）。</w:t>
      </w:r>
    </w:p>
    <w:p w:rsidR="007039BC" w:rsidRDefault="00E963B0">
      <w:pPr>
        <w:spacing w:line="560" w:lineRule="exact"/>
        <w:ind w:firstLineChars="200" w:firstLine="640"/>
        <w:rPr>
          <w:rFonts w:ascii="黑体" w:eastAsia="黑体" w:hAnsi="黑体" w:cs="黑体"/>
          <w:szCs w:val="32"/>
        </w:rPr>
      </w:pPr>
      <w:r>
        <w:rPr>
          <w:rFonts w:ascii="黑体" w:eastAsia="黑体" w:hAnsi="黑体" w:cs="黑体" w:hint="eastAsia"/>
          <w:szCs w:val="32"/>
        </w:rPr>
        <w:t>一、总体情况</w:t>
      </w:r>
    </w:p>
    <w:p w:rsidR="007039BC" w:rsidRDefault="00E963B0">
      <w:pPr>
        <w:spacing w:line="580" w:lineRule="exact"/>
        <w:ind w:firstLineChars="200" w:firstLine="640"/>
        <w:rPr>
          <w:rFonts w:ascii="仿宋_GB2312" w:eastAsia="仿宋_GB2312" w:hAnsi="仿宋_GB2312" w:cs="仿宋_GB2312"/>
        </w:rPr>
      </w:pPr>
      <w:r>
        <w:rPr>
          <w:rFonts w:ascii="仿宋_GB2312" w:eastAsia="仿宋_GB2312" w:hAnsi="仿宋_GB2312" w:cs="仿宋_GB2312"/>
        </w:rPr>
        <w:t>2022</w:t>
      </w:r>
      <w:r>
        <w:rPr>
          <w:rFonts w:ascii="仿宋_GB2312" w:eastAsia="仿宋_GB2312" w:hAnsi="仿宋_GB2312" w:cs="仿宋_GB2312"/>
        </w:rPr>
        <w:t>年，高青县</w:t>
      </w:r>
      <w:r>
        <w:rPr>
          <w:rFonts w:ascii="仿宋_GB2312" w:eastAsia="仿宋_GB2312" w:hAnsi="仿宋_GB2312" w:cs="仿宋_GB2312"/>
        </w:rPr>
        <w:t>投资促进中心</w:t>
      </w:r>
      <w:r>
        <w:rPr>
          <w:rFonts w:ascii="仿宋_GB2312" w:eastAsia="仿宋_GB2312" w:hAnsi="仿宋_GB2312" w:cs="仿宋_GB2312"/>
        </w:rPr>
        <w:t>坚持以习近平新时代中国特色社会主义思想为指导，认真落实国家和省市县政务公开工作部署，规范公开内容、完善公开制度、</w:t>
      </w:r>
      <w:r>
        <w:rPr>
          <w:rFonts w:ascii="仿宋_GB2312" w:eastAsia="仿宋_GB2312" w:hAnsi="仿宋_GB2312" w:cs="仿宋_GB2312"/>
        </w:rPr>
        <w:t>增强公开实效，不断提升政务公开标准化规范化水平，政务公开工作取得了一定成效。</w:t>
      </w:r>
    </w:p>
    <w:p w:rsidR="007039BC" w:rsidRDefault="00E963B0">
      <w:pPr>
        <w:spacing w:line="58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rPr>
        <w:lastRenderedPageBreak/>
        <w:t>（一）主动公开</w:t>
      </w:r>
    </w:p>
    <w:p w:rsidR="003B0646" w:rsidRDefault="003B0646" w:rsidP="003B0646">
      <w:pPr>
        <w:spacing w:line="580" w:lineRule="exact"/>
        <w:ind w:firstLineChars="200" w:firstLine="640"/>
        <w:rPr>
          <w:rFonts w:ascii="仿宋_GB2312" w:eastAsia="仿宋_GB2312" w:hAnsi="仿宋_GB2312" w:cs="仿宋_GB2312" w:hint="eastAsia"/>
        </w:rPr>
      </w:pPr>
      <w:r w:rsidRPr="003B0646">
        <w:rPr>
          <w:rFonts w:ascii="仿宋_GB2312" w:eastAsia="仿宋_GB2312" w:hAnsi="仿宋_GB2312" w:cs="仿宋_GB2312" w:hint="eastAsia"/>
          <w:snapToGrid/>
        </w:rPr>
        <w:t>健全政务公开工作机制，实行</w:t>
      </w:r>
      <w:r>
        <w:rPr>
          <w:rFonts w:ascii="仿宋_GB2312" w:eastAsia="仿宋_GB2312" w:hAnsi="仿宋_GB2312" w:cs="仿宋_GB2312" w:hint="eastAsia"/>
        </w:rPr>
        <w:t>“全员参与”工作机制。</w:t>
      </w:r>
      <w:r w:rsidRPr="003B0646">
        <w:rPr>
          <w:rFonts w:ascii="仿宋_GB2312" w:eastAsia="仿宋_GB2312" w:hAnsi="仿宋_GB2312" w:cs="仿宋_GB2312" w:hint="eastAsia"/>
          <w:snapToGrid/>
        </w:rPr>
        <w:t>制定《高青县投资促进中心2022年政务公开工作实施方案》</w:t>
      </w:r>
      <w:r>
        <w:rPr>
          <w:rFonts w:ascii="仿宋_GB2312" w:eastAsia="仿宋_GB2312" w:hAnsi="仿宋_GB2312" w:cs="仿宋_GB2312" w:hint="eastAsia"/>
        </w:rPr>
        <w:t>，明确任务目标的重点领域。</w:t>
      </w:r>
      <w:r>
        <w:rPr>
          <w:rFonts w:ascii="仿宋_GB2312" w:eastAsia="仿宋_GB2312" w:hAnsi="仿宋_GB2312" w:cs="仿宋_GB2312"/>
        </w:rPr>
        <w:t>严格按照《条例》</w:t>
      </w:r>
      <w:r>
        <w:rPr>
          <w:rFonts w:ascii="仿宋_GB2312" w:eastAsia="仿宋_GB2312" w:hAnsi="仿宋_GB2312" w:cs="仿宋_GB2312" w:hint="eastAsia"/>
        </w:rPr>
        <w:t>要求，主动公开</w:t>
      </w:r>
      <w:r>
        <w:rPr>
          <w:rFonts w:ascii="仿宋_GB2312" w:eastAsia="仿宋_GB2312" w:hAnsi="仿宋_GB2312" w:cs="仿宋_GB2312"/>
        </w:rPr>
        <w:t>机构设置、领导分工</w:t>
      </w:r>
      <w:r>
        <w:rPr>
          <w:rFonts w:ascii="仿宋_GB2312" w:eastAsia="仿宋_GB2312" w:hAnsi="仿宋_GB2312" w:cs="仿宋_GB2312" w:hint="eastAsia"/>
        </w:rPr>
        <w:t>等</w:t>
      </w:r>
      <w:r>
        <w:rPr>
          <w:rFonts w:ascii="仿宋_GB2312" w:eastAsia="仿宋_GB2312" w:hAnsi="仿宋_GB2312" w:cs="仿宋_GB2312"/>
        </w:rPr>
        <w:t>信息</w:t>
      </w:r>
      <w:r>
        <w:rPr>
          <w:rFonts w:ascii="仿宋_GB2312" w:eastAsia="仿宋_GB2312" w:hAnsi="仿宋_GB2312" w:cs="仿宋_GB2312" w:hint="eastAsia"/>
        </w:rPr>
        <w:t>，2022年累计</w:t>
      </w:r>
      <w:r>
        <w:rPr>
          <w:rFonts w:ascii="仿宋_GB2312" w:eastAsia="仿宋_GB2312" w:hAnsi="仿宋_GB2312" w:cs="仿宋_GB2312"/>
        </w:rPr>
        <w:t>通过政府门户网站、</w:t>
      </w:r>
      <w:r>
        <w:rPr>
          <w:rFonts w:ascii="仿宋_GB2312" w:eastAsia="仿宋_GB2312" w:hAnsi="仿宋_GB2312" w:cs="仿宋_GB2312" w:hint="eastAsia"/>
        </w:rPr>
        <w:t>“</w:t>
      </w:r>
      <w:r>
        <w:rPr>
          <w:rFonts w:ascii="仿宋_GB2312" w:eastAsia="仿宋_GB2312" w:hAnsi="仿宋_GB2312" w:cs="仿宋_GB2312"/>
        </w:rPr>
        <w:t>投资高青</w:t>
      </w:r>
      <w:r>
        <w:rPr>
          <w:rFonts w:ascii="仿宋_GB2312" w:eastAsia="仿宋_GB2312" w:hAnsi="仿宋_GB2312" w:cs="仿宋_GB2312" w:hint="eastAsia"/>
        </w:rPr>
        <w:t>”</w:t>
      </w:r>
      <w:proofErr w:type="gramStart"/>
      <w:r>
        <w:rPr>
          <w:rFonts w:ascii="仿宋_GB2312" w:eastAsia="仿宋_GB2312" w:hAnsi="仿宋_GB2312" w:cs="仿宋_GB2312"/>
        </w:rPr>
        <w:t>微信公众号</w:t>
      </w:r>
      <w:proofErr w:type="gramEnd"/>
      <w:r>
        <w:rPr>
          <w:rFonts w:ascii="仿宋_GB2312" w:eastAsia="仿宋_GB2312" w:hAnsi="仿宋_GB2312" w:cs="仿宋_GB2312"/>
        </w:rPr>
        <w:t>等渠道公开信息160余条，比2021年增加</w:t>
      </w:r>
      <w:r>
        <w:rPr>
          <w:rFonts w:ascii="仿宋_GB2312" w:eastAsia="仿宋_GB2312" w:hAnsi="仿宋_GB2312" w:cs="仿宋_GB2312" w:hint="eastAsia"/>
        </w:rPr>
        <w:t>25%，其中通过政府网站公开信息90余条，通过政务新媒体公开信息70余条</w:t>
      </w:r>
      <w:r>
        <w:rPr>
          <w:rFonts w:ascii="仿宋_GB2312" w:eastAsia="仿宋_GB2312" w:hAnsi="仿宋_GB2312" w:cs="仿宋_GB2312" w:hint="eastAsia"/>
        </w:rPr>
        <w:t>。做好解读回应，丰富政策解读形式，通过图文解读、单位负责人解读等形式发布政策解读材料3篇，通过</w:t>
      </w:r>
      <w:proofErr w:type="gramStart"/>
      <w:r>
        <w:rPr>
          <w:rFonts w:ascii="仿宋_GB2312" w:eastAsia="仿宋_GB2312" w:hAnsi="仿宋_GB2312" w:cs="仿宋_GB2312" w:hint="eastAsia"/>
        </w:rPr>
        <w:t>微信公众号</w:t>
      </w:r>
      <w:proofErr w:type="gramEnd"/>
      <w:r>
        <w:rPr>
          <w:rFonts w:ascii="仿宋_GB2312" w:eastAsia="仿宋_GB2312" w:hAnsi="仿宋_GB2312" w:cs="仿宋_GB2312" w:hint="eastAsia"/>
        </w:rPr>
        <w:t>就企业和群众关注的招商政策以及相关问题进行回应。</w:t>
      </w:r>
    </w:p>
    <w:p w:rsidR="003B0646" w:rsidRDefault="003B0646" w:rsidP="003B0646">
      <w:pPr>
        <w:pStyle w:val="a0"/>
        <w:ind w:firstLineChars="62" w:firstLine="130"/>
        <w:jc w:val="center"/>
        <w:rPr>
          <w:rFonts w:ascii="仿宋_GB2312" w:eastAsia="仿宋_GB2312" w:hAnsi="仿宋_GB2312" w:cs="仿宋_GB2312" w:hint="eastAsia"/>
          <w:snapToGrid w:val="0"/>
          <w:sz w:val="32"/>
          <w:szCs w:val="20"/>
        </w:rPr>
      </w:pPr>
      <w:r>
        <w:rPr>
          <w:rFonts w:hint="eastAsia"/>
          <w:noProof/>
        </w:rPr>
        <w:drawing>
          <wp:inline distT="0" distB="0" distL="114300" distR="114300" wp14:anchorId="105D179E" wp14:editId="5E5FB7D4">
            <wp:extent cx="2136531" cy="4437148"/>
            <wp:effectExtent l="0" t="0" r="0" b="1905"/>
            <wp:docPr id="1" name="图片 1" descr="126b2fef7e029e749c2a57cb4402f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6b2fef7e029e749c2a57cb4402f9d"/>
                    <pic:cNvPicPr>
                      <a:picLocks noChangeAspect="1"/>
                    </pic:cNvPicPr>
                  </pic:nvPicPr>
                  <pic:blipFill>
                    <a:blip r:embed="rId8"/>
                    <a:stretch>
                      <a:fillRect/>
                    </a:stretch>
                  </pic:blipFill>
                  <pic:spPr>
                    <a:xfrm>
                      <a:off x="0" y="0"/>
                      <a:ext cx="2136531" cy="4437148"/>
                    </a:xfrm>
                    <a:prstGeom prst="rect">
                      <a:avLst/>
                    </a:prstGeom>
                  </pic:spPr>
                </pic:pic>
              </a:graphicData>
            </a:graphic>
          </wp:inline>
        </w:drawing>
      </w:r>
    </w:p>
    <w:p w:rsidR="007039BC" w:rsidRDefault="00E963B0">
      <w:pPr>
        <w:spacing w:line="580" w:lineRule="exact"/>
        <w:ind w:firstLineChars="200" w:firstLine="640"/>
        <w:rPr>
          <w:rFonts w:ascii="楷体_GB2312" w:eastAsia="楷体_GB2312" w:hAnsi="楷体_GB2312" w:cs="楷体_GB2312"/>
        </w:rPr>
      </w:pPr>
      <w:r>
        <w:rPr>
          <w:rFonts w:ascii="楷体_GB2312" w:eastAsia="楷体_GB2312" w:hAnsi="楷体_GB2312" w:cs="楷体_GB2312"/>
        </w:rPr>
        <w:lastRenderedPageBreak/>
        <w:t>（二）依申请公开</w:t>
      </w:r>
    </w:p>
    <w:p w:rsidR="007039BC" w:rsidRDefault="00E963B0">
      <w:pPr>
        <w:spacing w:line="580" w:lineRule="exact"/>
        <w:ind w:firstLineChars="200" w:firstLine="640"/>
        <w:rPr>
          <w:rFonts w:ascii="仿宋_GB2312" w:eastAsia="仿宋_GB2312" w:hAnsi="仿宋_GB2312" w:cs="仿宋_GB2312"/>
        </w:rPr>
      </w:pPr>
      <w:r>
        <w:rPr>
          <w:rFonts w:ascii="仿宋_GB2312" w:eastAsia="仿宋_GB2312" w:hAnsi="仿宋_GB2312" w:cs="仿宋_GB2312"/>
        </w:rPr>
        <w:t>2022</w:t>
      </w:r>
      <w:r>
        <w:rPr>
          <w:rFonts w:ascii="仿宋_GB2312" w:eastAsia="仿宋_GB2312" w:hAnsi="仿宋_GB2312" w:cs="仿宋_GB2312"/>
        </w:rPr>
        <w:t>年，本机关</w:t>
      </w:r>
      <w:r w:rsidR="000F585D">
        <w:rPr>
          <w:rFonts w:ascii="仿宋_GB2312" w:eastAsia="仿宋_GB2312" w:hAnsi="仿宋_GB2312" w:cs="仿宋_GB2312" w:hint="eastAsia"/>
        </w:rPr>
        <w:t>未</w:t>
      </w:r>
      <w:r>
        <w:rPr>
          <w:rFonts w:ascii="仿宋_GB2312" w:eastAsia="仿宋_GB2312" w:hAnsi="仿宋_GB2312" w:cs="仿宋_GB2312"/>
        </w:rPr>
        <w:t>收到政府信息公开申请</w:t>
      </w:r>
      <w:r w:rsidR="000F585D">
        <w:rPr>
          <w:rFonts w:ascii="仿宋_GB2312" w:eastAsia="仿宋_GB2312" w:hAnsi="仿宋_GB2312" w:cs="仿宋_GB2312" w:hint="eastAsia"/>
        </w:rPr>
        <w:t>，</w:t>
      </w:r>
      <w:r>
        <w:rPr>
          <w:rFonts w:ascii="仿宋_GB2312" w:eastAsia="仿宋_GB2312" w:hAnsi="仿宋_GB2312" w:cs="仿宋_GB2312"/>
        </w:rPr>
        <w:t>上年度结转</w:t>
      </w:r>
      <w:r>
        <w:rPr>
          <w:rFonts w:ascii="仿宋_GB2312" w:eastAsia="仿宋_GB2312" w:hAnsi="仿宋_GB2312" w:cs="仿宋_GB2312"/>
        </w:rPr>
        <w:t>0</w:t>
      </w:r>
      <w:r>
        <w:rPr>
          <w:rFonts w:ascii="仿宋_GB2312" w:eastAsia="仿宋_GB2312" w:hAnsi="仿宋_GB2312" w:cs="仿宋_GB2312"/>
        </w:rPr>
        <w:t>件。</w:t>
      </w:r>
      <w:r>
        <w:rPr>
          <w:rFonts w:ascii="仿宋_GB2312" w:eastAsia="仿宋_GB2312" w:hAnsi="仿宋_GB2312" w:cs="仿宋_GB2312"/>
        </w:rPr>
        <w:t>本机关依申请公开政府信息未收取任何费用，未因政府信息公开被申请行政复议、提起行政诉讼。</w:t>
      </w:r>
    </w:p>
    <w:p w:rsidR="007039BC" w:rsidRDefault="00E963B0">
      <w:pPr>
        <w:spacing w:line="580" w:lineRule="exact"/>
        <w:ind w:firstLineChars="200" w:firstLine="640"/>
        <w:rPr>
          <w:rFonts w:ascii="楷体_GB2312" w:eastAsia="楷体_GB2312" w:hAnsi="楷体_GB2312" w:cs="楷体_GB2312"/>
        </w:rPr>
      </w:pPr>
      <w:bookmarkStart w:id="0" w:name="_GoBack"/>
      <w:r>
        <w:rPr>
          <w:rFonts w:ascii="楷体_GB2312" w:eastAsia="楷体_GB2312" w:hAnsi="楷体_GB2312" w:cs="楷体_GB2312"/>
        </w:rPr>
        <w:t>（三）政府信息管理</w:t>
      </w:r>
    </w:p>
    <w:p w:rsidR="000F585D" w:rsidRDefault="00E963B0">
      <w:pPr>
        <w:spacing w:line="580" w:lineRule="exact"/>
        <w:ind w:firstLineChars="200" w:firstLine="640"/>
        <w:rPr>
          <w:rFonts w:ascii="仿宋_GB2312" w:eastAsia="仿宋_GB2312" w:hAnsi="仿宋_GB2312" w:cs="仿宋_GB2312" w:hint="eastAsia"/>
        </w:rPr>
      </w:pPr>
      <w:r>
        <w:rPr>
          <w:rFonts w:ascii="仿宋_GB2312" w:eastAsia="仿宋_GB2312" w:hAnsi="仿宋_GB2312" w:cs="仿宋_GB2312"/>
        </w:rPr>
        <w:t>严格落实政府信息公开属性源头认定机制，</w:t>
      </w:r>
      <w:r w:rsidR="000F585D">
        <w:rPr>
          <w:rFonts w:ascii="仿宋_GB2312" w:eastAsia="仿宋_GB2312" w:hAnsi="仿宋_GB2312" w:cs="仿宋_GB2312" w:hint="eastAsia"/>
        </w:rPr>
        <w:t>在制发公文前</w:t>
      </w:r>
      <w:r>
        <w:rPr>
          <w:rFonts w:ascii="仿宋_GB2312" w:eastAsia="仿宋_GB2312" w:hAnsi="仿宋_GB2312" w:cs="仿宋_GB2312"/>
        </w:rPr>
        <w:t>明确</w:t>
      </w:r>
      <w:r>
        <w:rPr>
          <w:rFonts w:ascii="仿宋_GB2312" w:eastAsia="仿宋_GB2312" w:hAnsi="仿宋_GB2312" w:cs="仿宋_GB2312"/>
        </w:rPr>
        <w:t>标明</w:t>
      </w:r>
      <w:r>
        <w:rPr>
          <w:rFonts w:ascii="仿宋_GB2312" w:eastAsia="仿宋_GB2312" w:hAnsi="仿宋_GB2312" w:cs="仿宋_GB2312"/>
        </w:rPr>
        <w:t>“</w:t>
      </w:r>
      <w:r>
        <w:rPr>
          <w:rFonts w:ascii="仿宋_GB2312" w:eastAsia="仿宋_GB2312" w:hAnsi="仿宋_GB2312" w:cs="仿宋_GB2312"/>
        </w:rPr>
        <w:t>主动公开</w:t>
      </w:r>
      <w:r>
        <w:rPr>
          <w:rFonts w:ascii="仿宋_GB2312" w:eastAsia="仿宋_GB2312" w:hAnsi="仿宋_GB2312" w:cs="仿宋_GB2312"/>
        </w:rPr>
        <w:t>”“</w:t>
      </w:r>
      <w:r>
        <w:rPr>
          <w:rFonts w:ascii="仿宋_GB2312" w:eastAsia="仿宋_GB2312" w:hAnsi="仿宋_GB2312" w:cs="仿宋_GB2312"/>
        </w:rPr>
        <w:t>依申请公开</w:t>
      </w:r>
      <w:r>
        <w:rPr>
          <w:rFonts w:ascii="仿宋_GB2312" w:eastAsia="仿宋_GB2312" w:hAnsi="仿宋_GB2312" w:cs="仿宋_GB2312"/>
        </w:rPr>
        <w:t>”“</w:t>
      </w:r>
      <w:r>
        <w:rPr>
          <w:rFonts w:ascii="仿宋_GB2312" w:eastAsia="仿宋_GB2312" w:hAnsi="仿宋_GB2312" w:cs="仿宋_GB2312"/>
        </w:rPr>
        <w:t>不予公开</w:t>
      </w:r>
      <w:r>
        <w:rPr>
          <w:rFonts w:ascii="仿宋_GB2312" w:eastAsia="仿宋_GB2312" w:hAnsi="仿宋_GB2312" w:cs="仿宋_GB2312"/>
        </w:rPr>
        <w:t>”</w:t>
      </w:r>
      <w:r>
        <w:rPr>
          <w:rFonts w:ascii="仿宋_GB2312" w:eastAsia="仿宋_GB2312" w:hAnsi="仿宋_GB2312" w:cs="仿宋_GB2312"/>
        </w:rPr>
        <w:t>等</w:t>
      </w:r>
      <w:r>
        <w:rPr>
          <w:rFonts w:ascii="仿宋_GB2312" w:eastAsia="仿宋_GB2312" w:hAnsi="仿宋_GB2312" w:cs="仿宋_GB2312"/>
        </w:rPr>
        <w:t>属性，确定为</w:t>
      </w:r>
      <w:r>
        <w:rPr>
          <w:rFonts w:ascii="仿宋_GB2312" w:eastAsia="仿宋_GB2312" w:hAnsi="仿宋_GB2312" w:cs="仿宋_GB2312"/>
        </w:rPr>
        <w:t>“</w:t>
      </w:r>
      <w:r>
        <w:rPr>
          <w:rFonts w:ascii="仿宋_GB2312" w:eastAsia="仿宋_GB2312" w:hAnsi="仿宋_GB2312" w:cs="仿宋_GB2312"/>
        </w:rPr>
        <w:t>不予公开</w:t>
      </w:r>
      <w:r>
        <w:rPr>
          <w:rFonts w:ascii="仿宋_GB2312" w:eastAsia="仿宋_GB2312" w:hAnsi="仿宋_GB2312" w:cs="仿宋_GB2312"/>
        </w:rPr>
        <w:t>”</w:t>
      </w:r>
      <w:r>
        <w:rPr>
          <w:rFonts w:ascii="仿宋_GB2312" w:eastAsia="仿宋_GB2312" w:hAnsi="仿宋_GB2312" w:cs="仿宋_GB2312"/>
        </w:rPr>
        <w:t>的</w:t>
      </w:r>
      <w:r w:rsidR="000F585D">
        <w:rPr>
          <w:rFonts w:ascii="仿宋_GB2312" w:eastAsia="仿宋_GB2312" w:hAnsi="仿宋_GB2312" w:cs="仿宋_GB2312" w:hint="eastAsia"/>
        </w:rPr>
        <w:t>附带相关说明。调整优化政府信息公开指南、政府信息主动公开基本目录。开展政府文件集中公开工作，对已公开的文件重新进行梳理，标注有效性，对失效文件予以清理。</w:t>
      </w:r>
    </w:p>
    <w:p w:rsidR="007039BC" w:rsidRPr="000F585D" w:rsidRDefault="000F585D" w:rsidP="000F585D">
      <w:pPr>
        <w:spacing w:line="580" w:lineRule="exact"/>
        <w:ind w:firstLineChars="200" w:firstLine="640"/>
        <w:rPr>
          <w:rFonts w:ascii="楷体_GB2312" w:eastAsia="楷体_GB2312" w:hAnsi="楷体_GB2312" w:cs="楷体_GB2312"/>
        </w:rPr>
      </w:pPr>
      <w:r>
        <w:rPr>
          <w:rFonts w:ascii="楷体_GB2312" w:eastAsia="楷体_GB2312" w:hAnsi="楷体_GB2312" w:cs="楷体_GB2312" w:hint="eastAsia"/>
        </w:rPr>
        <w:t>（四）</w:t>
      </w:r>
      <w:r w:rsidR="00E963B0" w:rsidRPr="000F585D">
        <w:rPr>
          <w:rFonts w:ascii="楷体_GB2312" w:eastAsia="楷体_GB2312" w:hAnsi="楷体_GB2312" w:cs="楷体_GB2312"/>
        </w:rPr>
        <w:t>政府信息公开平台建设</w:t>
      </w:r>
    </w:p>
    <w:p w:rsidR="007039BC" w:rsidRDefault="000F585D">
      <w:pPr>
        <w:spacing w:line="580" w:lineRule="exact"/>
        <w:ind w:firstLineChars="200" w:firstLine="640"/>
        <w:rPr>
          <w:rFonts w:ascii="仿宋_GB2312" w:eastAsia="仿宋_GB2312" w:hAnsi="仿宋_GB2312" w:cs="仿宋_GB2312"/>
        </w:rPr>
      </w:pPr>
      <w:r>
        <w:rPr>
          <w:rFonts w:ascii="仿宋_GB2312" w:eastAsia="仿宋_GB2312" w:hAnsi="仿宋_GB2312" w:cs="仿宋_GB2312" w:hint="eastAsia"/>
        </w:rPr>
        <w:t>优化县政府门户网站中高青县投资促进中心政务公开专栏设置，整合、新建栏目3个。</w:t>
      </w:r>
      <w:r w:rsidR="00E963B0">
        <w:rPr>
          <w:rFonts w:ascii="仿宋_GB2312" w:eastAsia="仿宋_GB2312" w:hAnsi="仿宋_GB2312" w:cs="仿宋_GB2312"/>
        </w:rPr>
        <w:t>“</w:t>
      </w:r>
      <w:r w:rsidR="00E963B0">
        <w:rPr>
          <w:rFonts w:ascii="仿宋_GB2312" w:eastAsia="仿宋_GB2312" w:hAnsi="仿宋_GB2312" w:cs="仿宋_GB2312"/>
        </w:rPr>
        <w:t>投资高青</w:t>
      </w:r>
      <w:r w:rsidR="00E963B0">
        <w:rPr>
          <w:rFonts w:ascii="仿宋_GB2312" w:eastAsia="仿宋_GB2312" w:hAnsi="仿宋_GB2312" w:cs="仿宋_GB2312"/>
        </w:rPr>
        <w:t>”</w:t>
      </w:r>
      <w:proofErr w:type="gramStart"/>
      <w:r w:rsidR="00E963B0">
        <w:rPr>
          <w:rFonts w:ascii="仿宋_GB2312" w:eastAsia="仿宋_GB2312" w:hAnsi="仿宋_GB2312" w:cs="仿宋_GB2312"/>
        </w:rPr>
        <w:t>微信公众号</w:t>
      </w:r>
      <w:proofErr w:type="gramEnd"/>
      <w:r w:rsidR="00E963B0">
        <w:rPr>
          <w:rFonts w:ascii="仿宋_GB2312" w:eastAsia="仿宋_GB2312" w:hAnsi="仿宋_GB2312" w:cs="仿宋_GB2312"/>
        </w:rPr>
        <w:t>分栏设立</w:t>
      </w:r>
      <w:r w:rsidR="00E963B0">
        <w:rPr>
          <w:rFonts w:ascii="仿宋_GB2312" w:eastAsia="仿宋_GB2312" w:hAnsi="仿宋_GB2312" w:cs="仿宋_GB2312"/>
        </w:rPr>
        <w:t>“</w:t>
      </w:r>
      <w:r w:rsidR="00E963B0">
        <w:rPr>
          <w:rFonts w:ascii="仿宋_GB2312" w:eastAsia="仿宋_GB2312" w:hAnsi="仿宋_GB2312" w:cs="仿宋_GB2312"/>
        </w:rPr>
        <w:t>高青概况</w:t>
      </w:r>
      <w:r w:rsidR="00E963B0">
        <w:rPr>
          <w:rFonts w:ascii="仿宋_GB2312" w:eastAsia="仿宋_GB2312" w:hAnsi="仿宋_GB2312" w:cs="仿宋_GB2312"/>
        </w:rPr>
        <w:t>”“</w:t>
      </w:r>
      <w:r w:rsidR="00E963B0">
        <w:rPr>
          <w:rFonts w:ascii="仿宋_GB2312" w:eastAsia="仿宋_GB2312" w:hAnsi="仿宋_GB2312" w:cs="仿宋_GB2312"/>
        </w:rPr>
        <w:t>招商项目</w:t>
      </w:r>
      <w:r w:rsidR="00E963B0">
        <w:rPr>
          <w:rFonts w:ascii="仿宋_GB2312" w:eastAsia="仿宋_GB2312" w:hAnsi="仿宋_GB2312" w:cs="仿宋_GB2312"/>
        </w:rPr>
        <w:t>”“</w:t>
      </w:r>
      <w:r w:rsidR="00E963B0">
        <w:rPr>
          <w:rFonts w:ascii="仿宋_GB2312" w:eastAsia="仿宋_GB2312" w:hAnsi="仿宋_GB2312" w:cs="仿宋_GB2312"/>
        </w:rPr>
        <w:t>高青招商</w:t>
      </w:r>
      <w:r w:rsidR="00E963B0">
        <w:rPr>
          <w:rFonts w:ascii="仿宋_GB2312" w:eastAsia="仿宋_GB2312" w:hAnsi="仿宋_GB2312" w:cs="仿宋_GB2312"/>
        </w:rPr>
        <w:t>”</w:t>
      </w:r>
      <w:r w:rsidR="00E963B0">
        <w:rPr>
          <w:rFonts w:ascii="仿宋_GB2312" w:eastAsia="仿宋_GB2312" w:hAnsi="仿宋_GB2312" w:cs="仿宋_GB2312"/>
        </w:rPr>
        <w:t>，聚焦高青产业特色，介绍高青概况、投资环境、招商动态、招商政策等内容，</w:t>
      </w:r>
      <w:r w:rsidR="00E963B0">
        <w:rPr>
          <w:rFonts w:ascii="仿宋_GB2312" w:eastAsia="仿宋_GB2312" w:hAnsi="仿宋_GB2312" w:cs="仿宋_GB2312"/>
        </w:rPr>
        <w:t>方便企业了解招商引</w:t>
      </w:r>
      <w:r>
        <w:rPr>
          <w:rFonts w:ascii="仿宋_GB2312" w:eastAsia="仿宋_GB2312" w:hAnsi="仿宋_GB2312" w:cs="仿宋_GB2312"/>
        </w:rPr>
        <w:t>资的工作动态，不断推动</w:t>
      </w:r>
      <w:r>
        <w:rPr>
          <w:rFonts w:ascii="仿宋_GB2312" w:eastAsia="仿宋_GB2312" w:hAnsi="仿宋_GB2312" w:cs="仿宋_GB2312" w:hint="eastAsia"/>
        </w:rPr>
        <w:t>信息公开工作深入开展</w:t>
      </w:r>
      <w:r w:rsidR="00E963B0">
        <w:rPr>
          <w:rFonts w:ascii="仿宋_GB2312" w:eastAsia="仿宋_GB2312" w:hAnsi="仿宋_GB2312" w:cs="仿宋_GB2312"/>
        </w:rPr>
        <w:t>。</w:t>
      </w:r>
    </w:p>
    <w:p w:rsidR="000F585D" w:rsidRDefault="00E963B0" w:rsidP="000F585D">
      <w:pPr>
        <w:spacing w:line="580" w:lineRule="exact"/>
        <w:ind w:firstLineChars="200" w:firstLine="640"/>
        <w:rPr>
          <w:rFonts w:ascii="楷体_GB2312" w:eastAsia="楷体_GB2312" w:hAnsi="楷体_GB2312" w:cs="楷体_GB2312" w:hint="eastAsia"/>
        </w:rPr>
      </w:pPr>
      <w:r>
        <w:rPr>
          <w:rFonts w:ascii="楷体_GB2312" w:eastAsia="楷体_GB2312" w:hAnsi="楷体_GB2312" w:cs="楷体_GB2312"/>
        </w:rPr>
        <w:t>（五）监督保障</w:t>
      </w:r>
    </w:p>
    <w:p w:rsidR="000F585D" w:rsidRPr="000F585D" w:rsidRDefault="000F585D" w:rsidP="000F585D">
      <w:pPr>
        <w:spacing w:line="580" w:lineRule="exact"/>
        <w:ind w:firstLineChars="200" w:firstLine="640"/>
        <w:rPr>
          <w:rFonts w:ascii="仿宋_GB2312" w:eastAsia="仿宋_GB2312" w:hAnsi="仿宋_GB2312" w:cs="仿宋_GB2312" w:hint="eastAsia"/>
          <w:snapToGrid/>
        </w:rPr>
      </w:pPr>
      <w:r w:rsidRPr="000F585D">
        <w:rPr>
          <w:rFonts w:ascii="仿宋_GB2312" w:eastAsia="仿宋_GB2312" w:hAnsi="仿宋_GB2312" w:cs="仿宋_GB2312"/>
          <w:snapToGrid/>
        </w:rPr>
        <w:t>健全完善领导体制</w:t>
      </w:r>
      <w:r w:rsidRPr="000F585D">
        <w:rPr>
          <w:rFonts w:ascii="仿宋_GB2312" w:eastAsia="仿宋_GB2312" w:hAnsi="仿宋_GB2312" w:cs="仿宋_GB2312" w:hint="eastAsia"/>
          <w:snapToGrid/>
        </w:rPr>
        <w:t>，</w:t>
      </w:r>
      <w:r w:rsidRPr="000F585D">
        <w:rPr>
          <w:rFonts w:ascii="仿宋_GB2312" w:eastAsia="仿宋_GB2312" w:hAnsi="仿宋_GB2312" w:cs="仿宋_GB2312"/>
          <w:snapToGrid/>
        </w:rPr>
        <w:t>及时调整</w:t>
      </w:r>
      <w:r w:rsidRPr="000F585D">
        <w:rPr>
          <w:rFonts w:ascii="仿宋_GB2312" w:eastAsia="仿宋_GB2312" w:hAnsi="仿宋_GB2312" w:cs="仿宋_GB2312" w:hint="eastAsia"/>
          <w:snapToGrid/>
        </w:rPr>
        <w:t>政务公开工作</w:t>
      </w:r>
      <w:r w:rsidRPr="000F585D">
        <w:rPr>
          <w:rFonts w:ascii="仿宋_GB2312" w:eastAsia="仿宋_GB2312" w:hAnsi="仿宋_GB2312" w:cs="仿宋_GB2312"/>
          <w:snapToGrid/>
        </w:rPr>
        <w:t>领导小组</w:t>
      </w:r>
      <w:r w:rsidRPr="000F585D">
        <w:rPr>
          <w:rFonts w:ascii="仿宋_GB2312" w:eastAsia="仿宋_GB2312" w:hAnsi="仿宋_GB2312" w:cs="仿宋_GB2312" w:hint="eastAsia"/>
          <w:snapToGrid/>
        </w:rPr>
        <w:t>，领导小组召开会议研究政务公开工作。明确</w:t>
      </w:r>
      <w:r w:rsidRPr="000F585D">
        <w:rPr>
          <w:rFonts w:ascii="仿宋_GB2312" w:eastAsia="仿宋_GB2312" w:hAnsi="仿宋_GB2312" w:cs="仿宋_GB2312"/>
          <w:snapToGrid/>
        </w:rPr>
        <w:t>综合科</w:t>
      </w:r>
      <w:r w:rsidRPr="000F585D">
        <w:rPr>
          <w:rFonts w:ascii="仿宋_GB2312" w:eastAsia="仿宋_GB2312" w:hAnsi="仿宋_GB2312" w:cs="仿宋_GB2312" w:hint="eastAsia"/>
          <w:snapToGrid/>
        </w:rPr>
        <w:t>负责政务公开工作，调整更换1名专职工作人员。制定《高青县投资促进中心</w:t>
      </w:r>
      <w:r w:rsidRPr="000F585D">
        <w:rPr>
          <w:rFonts w:ascii="仿宋_GB2312" w:eastAsia="仿宋_GB2312" w:hAnsi="仿宋_GB2312" w:cs="仿宋_GB2312" w:hint="eastAsia"/>
          <w:snapToGrid/>
        </w:rPr>
        <w:lastRenderedPageBreak/>
        <w:t>2022年政务公开工作培训计划》，组织业务培训</w:t>
      </w:r>
      <w:r w:rsidRPr="000F585D">
        <w:rPr>
          <w:rFonts w:ascii="仿宋_GB2312" w:eastAsia="仿宋_GB2312" w:hAnsi="仿宋_GB2312" w:cs="仿宋_GB2312"/>
          <w:snapToGrid/>
        </w:rPr>
        <w:t>学习政务公开相关政策法规</w:t>
      </w:r>
      <w:r w:rsidRPr="000F585D">
        <w:rPr>
          <w:rFonts w:ascii="仿宋_GB2312" w:eastAsia="仿宋_GB2312" w:hAnsi="仿宋_GB2312" w:cs="仿宋_GB2312" w:hint="eastAsia"/>
          <w:snapToGrid/>
        </w:rPr>
        <w:t>以及业务工作等，2022年开展政务公开培训1次。</w:t>
      </w:r>
    </w:p>
    <w:bookmarkEnd w:id="0"/>
    <w:p w:rsidR="0093698F" w:rsidRDefault="0093698F">
      <w:pPr>
        <w:spacing w:line="560" w:lineRule="exact"/>
        <w:ind w:firstLineChars="200" w:firstLine="640"/>
        <w:rPr>
          <w:rFonts w:ascii="黑体" w:eastAsia="黑体" w:hAnsi="黑体" w:cs="黑体" w:hint="eastAsia"/>
          <w:szCs w:val="32"/>
        </w:rPr>
      </w:pPr>
    </w:p>
    <w:p w:rsidR="007039BC" w:rsidRDefault="00E963B0">
      <w:pPr>
        <w:spacing w:line="560" w:lineRule="exact"/>
        <w:ind w:firstLineChars="200" w:firstLine="640"/>
        <w:rPr>
          <w:rFonts w:ascii="黑体" w:eastAsia="黑体" w:hAnsi="黑体" w:cs="黑体"/>
          <w:szCs w:val="32"/>
        </w:rPr>
      </w:pPr>
      <w:r>
        <w:rPr>
          <w:rFonts w:ascii="黑体" w:eastAsia="黑体" w:hAnsi="黑体" w:cs="黑体"/>
          <w:szCs w:val="32"/>
        </w:rPr>
        <w:t>二、主动公开政府信息情况</w:t>
      </w:r>
    </w:p>
    <w:tbl>
      <w:tblPr>
        <w:tblStyle w:val="a8"/>
        <w:tblW w:w="0" w:type="auto"/>
        <w:jc w:val="center"/>
        <w:tblLook w:val="04A0" w:firstRow="1" w:lastRow="0" w:firstColumn="1" w:lastColumn="0" w:noHBand="0" w:noVBand="1"/>
      </w:tblPr>
      <w:tblGrid>
        <w:gridCol w:w="2580"/>
        <w:gridCol w:w="2122"/>
        <w:gridCol w:w="2123"/>
        <w:gridCol w:w="2123"/>
      </w:tblGrid>
      <w:tr w:rsidR="007039BC">
        <w:trPr>
          <w:trHeight w:hRule="exact" w:val="567"/>
          <w:jc w:val="center"/>
        </w:trPr>
        <w:tc>
          <w:tcPr>
            <w:tcW w:w="8981" w:type="dxa"/>
            <w:gridSpan w:val="4"/>
            <w:vAlign w:val="center"/>
          </w:tcPr>
          <w:p w:rsidR="007039BC" w:rsidRDefault="00E963B0">
            <w:pPr>
              <w:spacing w:line="240" w:lineRule="auto"/>
              <w:ind w:firstLine="0"/>
              <w:jc w:val="center"/>
              <w:rPr>
                <w:rFonts w:eastAsia="仿宋_GB2312"/>
                <w:sz w:val="20"/>
              </w:rPr>
            </w:pPr>
            <w:r>
              <w:rPr>
                <w:rFonts w:eastAsia="仿宋_GB2312"/>
                <w:snapToGrid/>
                <w:color w:val="000000"/>
                <w:sz w:val="20"/>
              </w:rPr>
              <w:t>第二十条第（一）项</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2130" w:type="dxa"/>
            <w:vAlign w:val="center"/>
          </w:tcPr>
          <w:p w:rsidR="007039BC" w:rsidRDefault="00E963B0">
            <w:pPr>
              <w:widowControl/>
              <w:autoSpaceDE/>
              <w:autoSpaceDN/>
              <w:snapToGrid/>
              <w:spacing w:line="240" w:lineRule="auto"/>
              <w:ind w:firstLine="0"/>
              <w:jc w:val="center"/>
              <w:rPr>
                <w:rFonts w:eastAsia="仿宋_GB2312"/>
                <w:snapToGrid/>
                <w:sz w:val="20"/>
              </w:rPr>
            </w:pPr>
            <w:r>
              <w:rPr>
                <w:rFonts w:eastAsia="仿宋_GB2312"/>
                <w:snapToGrid/>
                <w:color w:val="000000"/>
                <w:sz w:val="20"/>
              </w:rPr>
              <w:t>本年</w:t>
            </w:r>
            <w:r>
              <w:rPr>
                <w:rFonts w:eastAsia="仿宋_GB2312"/>
                <w:snapToGrid/>
                <w:sz w:val="20"/>
              </w:rPr>
              <w:t>制发件数</w:t>
            </w:r>
          </w:p>
        </w:tc>
        <w:tc>
          <w:tcPr>
            <w:tcW w:w="2131" w:type="dxa"/>
            <w:vAlign w:val="center"/>
          </w:tcPr>
          <w:p w:rsidR="007039BC" w:rsidRDefault="00E963B0">
            <w:pPr>
              <w:widowControl/>
              <w:autoSpaceDE/>
              <w:autoSpaceDN/>
              <w:snapToGrid/>
              <w:spacing w:line="240" w:lineRule="auto"/>
              <w:ind w:firstLine="0"/>
              <w:jc w:val="center"/>
              <w:rPr>
                <w:rFonts w:eastAsia="仿宋_GB2312"/>
                <w:snapToGrid/>
                <w:sz w:val="20"/>
              </w:rPr>
            </w:pPr>
            <w:r>
              <w:rPr>
                <w:rFonts w:eastAsia="仿宋_GB2312"/>
                <w:snapToGrid/>
                <w:color w:val="000000"/>
                <w:sz w:val="20"/>
              </w:rPr>
              <w:t>本年废止件数</w:t>
            </w:r>
          </w:p>
        </w:tc>
        <w:tc>
          <w:tcPr>
            <w:tcW w:w="2131" w:type="dxa"/>
            <w:vAlign w:val="center"/>
          </w:tcPr>
          <w:p w:rsidR="007039BC" w:rsidRDefault="00E963B0">
            <w:pPr>
              <w:widowControl/>
              <w:autoSpaceDE/>
              <w:autoSpaceDN/>
              <w:snapToGrid/>
              <w:spacing w:line="240" w:lineRule="auto"/>
              <w:ind w:firstLine="0"/>
              <w:jc w:val="center"/>
              <w:rPr>
                <w:rFonts w:eastAsia="仿宋_GB2312"/>
                <w:snapToGrid/>
                <w:sz w:val="20"/>
              </w:rPr>
            </w:pPr>
            <w:r>
              <w:rPr>
                <w:rFonts w:eastAsia="仿宋_GB2312"/>
                <w:snapToGrid/>
                <w:color w:val="000000"/>
                <w:sz w:val="20"/>
              </w:rPr>
              <w:t>现行有效件</w:t>
            </w:r>
            <w:r>
              <w:rPr>
                <w:rFonts w:eastAsia="仿宋_GB2312"/>
                <w:snapToGrid/>
                <w:sz w:val="20"/>
              </w:rPr>
              <w:t>数</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规章</w:t>
            </w:r>
          </w:p>
        </w:tc>
        <w:tc>
          <w:tcPr>
            <w:tcW w:w="2130" w:type="dxa"/>
            <w:vAlign w:val="center"/>
          </w:tcPr>
          <w:p w:rsidR="007039BC" w:rsidRDefault="00E963B0">
            <w:pPr>
              <w:spacing w:line="240" w:lineRule="auto"/>
              <w:ind w:firstLine="0"/>
              <w:jc w:val="center"/>
              <w:rPr>
                <w:rFonts w:eastAsia="仿宋_GB2312"/>
                <w:sz w:val="20"/>
              </w:rPr>
            </w:pPr>
            <w:r>
              <w:rPr>
                <w:rFonts w:eastAsia="仿宋_GB2312"/>
                <w:color w:val="000000"/>
                <w:sz w:val="24"/>
                <w:szCs w:val="24"/>
              </w:rPr>
              <w:t>0</w:t>
            </w:r>
          </w:p>
        </w:tc>
        <w:tc>
          <w:tcPr>
            <w:tcW w:w="2131" w:type="dxa"/>
            <w:vAlign w:val="center"/>
          </w:tcPr>
          <w:p w:rsidR="007039BC" w:rsidRDefault="00E963B0">
            <w:pPr>
              <w:spacing w:line="240" w:lineRule="auto"/>
              <w:ind w:firstLine="0"/>
              <w:jc w:val="center"/>
              <w:rPr>
                <w:rFonts w:eastAsia="仿宋_GB2312"/>
                <w:sz w:val="20"/>
              </w:rPr>
            </w:pPr>
            <w:r>
              <w:rPr>
                <w:rFonts w:eastAsia="仿宋_GB2312"/>
                <w:color w:val="000000"/>
                <w:sz w:val="24"/>
                <w:szCs w:val="24"/>
              </w:rPr>
              <w:t>0</w:t>
            </w:r>
          </w:p>
        </w:tc>
        <w:tc>
          <w:tcPr>
            <w:tcW w:w="2131" w:type="dxa"/>
            <w:vAlign w:val="center"/>
          </w:tcPr>
          <w:p w:rsidR="007039BC" w:rsidRDefault="00E963B0">
            <w:pPr>
              <w:spacing w:line="240" w:lineRule="auto"/>
              <w:ind w:firstLine="0"/>
              <w:jc w:val="center"/>
              <w:rPr>
                <w:rFonts w:eastAsia="仿宋_GB2312"/>
                <w:sz w:val="20"/>
              </w:rPr>
            </w:pPr>
            <w:r>
              <w:rPr>
                <w:rFonts w:eastAsia="仿宋_GB2312"/>
                <w:color w:val="000000"/>
                <w:sz w:val="24"/>
                <w:szCs w:val="24"/>
              </w:rPr>
              <w:t>0</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行政规范性文件</w:t>
            </w:r>
          </w:p>
        </w:tc>
        <w:tc>
          <w:tcPr>
            <w:tcW w:w="2130" w:type="dxa"/>
            <w:vAlign w:val="center"/>
          </w:tcPr>
          <w:p w:rsidR="007039BC" w:rsidRDefault="00E963B0">
            <w:pPr>
              <w:spacing w:line="240" w:lineRule="auto"/>
              <w:ind w:firstLine="0"/>
              <w:jc w:val="center"/>
              <w:rPr>
                <w:rFonts w:eastAsia="仿宋_GB2312"/>
                <w:sz w:val="20"/>
              </w:rPr>
            </w:pPr>
            <w:r>
              <w:rPr>
                <w:rFonts w:eastAsia="仿宋_GB2312"/>
                <w:color w:val="333333"/>
                <w:sz w:val="24"/>
                <w:szCs w:val="24"/>
              </w:rPr>
              <w:t>0</w:t>
            </w:r>
          </w:p>
        </w:tc>
        <w:tc>
          <w:tcPr>
            <w:tcW w:w="2131" w:type="dxa"/>
            <w:vAlign w:val="center"/>
          </w:tcPr>
          <w:p w:rsidR="007039BC" w:rsidRDefault="00E963B0">
            <w:pPr>
              <w:spacing w:line="240" w:lineRule="auto"/>
              <w:ind w:firstLine="0"/>
              <w:jc w:val="center"/>
              <w:rPr>
                <w:rFonts w:eastAsia="仿宋_GB2312"/>
                <w:sz w:val="20"/>
              </w:rPr>
            </w:pPr>
            <w:r>
              <w:rPr>
                <w:rFonts w:eastAsia="仿宋_GB2312"/>
                <w:color w:val="000000"/>
                <w:sz w:val="24"/>
                <w:szCs w:val="24"/>
              </w:rPr>
              <w:t>0</w:t>
            </w:r>
          </w:p>
        </w:tc>
        <w:tc>
          <w:tcPr>
            <w:tcW w:w="2131" w:type="dxa"/>
            <w:vAlign w:val="center"/>
          </w:tcPr>
          <w:p w:rsidR="007039BC" w:rsidRDefault="00E963B0">
            <w:pPr>
              <w:spacing w:line="240" w:lineRule="auto"/>
              <w:ind w:firstLine="0"/>
              <w:jc w:val="center"/>
              <w:rPr>
                <w:rFonts w:eastAsia="仿宋_GB2312"/>
                <w:sz w:val="20"/>
              </w:rPr>
            </w:pPr>
            <w:r>
              <w:rPr>
                <w:rFonts w:eastAsia="仿宋_GB2312"/>
                <w:color w:val="000000"/>
                <w:sz w:val="24"/>
                <w:szCs w:val="24"/>
              </w:rPr>
              <w:t>0</w:t>
            </w:r>
          </w:p>
        </w:tc>
      </w:tr>
      <w:tr w:rsidR="007039BC">
        <w:trPr>
          <w:trHeight w:hRule="exact" w:val="567"/>
          <w:jc w:val="center"/>
        </w:trPr>
        <w:tc>
          <w:tcPr>
            <w:tcW w:w="8981" w:type="dxa"/>
            <w:gridSpan w:val="4"/>
            <w:vAlign w:val="center"/>
          </w:tcPr>
          <w:p w:rsidR="007039BC" w:rsidRDefault="00E963B0">
            <w:pPr>
              <w:spacing w:line="240" w:lineRule="auto"/>
              <w:ind w:firstLine="0"/>
              <w:jc w:val="center"/>
              <w:rPr>
                <w:rFonts w:eastAsia="仿宋_GB2312"/>
                <w:snapToGrid/>
                <w:color w:val="000000"/>
                <w:sz w:val="20"/>
              </w:rPr>
            </w:pPr>
            <w:r>
              <w:rPr>
                <w:rFonts w:eastAsia="仿宋_GB2312"/>
                <w:snapToGrid/>
                <w:color w:val="000000"/>
                <w:sz w:val="20"/>
              </w:rPr>
              <w:t>第二十条第（五）项</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392" w:type="dxa"/>
            <w:gridSpan w:val="3"/>
            <w:vAlign w:val="center"/>
          </w:tcPr>
          <w:p w:rsidR="007039BC" w:rsidRDefault="00E963B0">
            <w:pPr>
              <w:spacing w:line="240" w:lineRule="auto"/>
              <w:ind w:firstLine="0"/>
              <w:jc w:val="center"/>
              <w:rPr>
                <w:rFonts w:eastAsia="仿宋_GB2312"/>
                <w:sz w:val="20"/>
              </w:rPr>
            </w:pPr>
            <w:r>
              <w:rPr>
                <w:rFonts w:eastAsia="仿宋_GB2312"/>
                <w:snapToGrid/>
                <w:color w:val="000000"/>
                <w:sz w:val="20"/>
              </w:rPr>
              <w:t>本年处理决定数量</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行政许可</w:t>
            </w:r>
          </w:p>
        </w:tc>
        <w:tc>
          <w:tcPr>
            <w:tcW w:w="6392" w:type="dxa"/>
            <w:gridSpan w:val="3"/>
            <w:vAlign w:val="center"/>
          </w:tcPr>
          <w:p w:rsidR="007039BC" w:rsidRDefault="00E963B0">
            <w:pPr>
              <w:spacing w:line="240" w:lineRule="auto"/>
              <w:ind w:firstLine="0"/>
              <w:jc w:val="center"/>
              <w:rPr>
                <w:rFonts w:eastAsia="仿宋_GB2312"/>
                <w:sz w:val="20"/>
              </w:rPr>
            </w:pPr>
            <w:r>
              <w:rPr>
                <w:rFonts w:eastAsia="仿宋_GB2312"/>
                <w:sz w:val="20"/>
              </w:rPr>
              <w:t>0</w:t>
            </w:r>
          </w:p>
        </w:tc>
      </w:tr>
      <w:tr w:rsidR="007039BC">
        <w:trPr>
          <w:trHeight w:hRule="exact" w:val="567"/>
          <w:jc w:val="center"/>
        </w:trPr>
        <w:tc>
          <w:tcPr>
            <w:tcW w:w="8981" w:type="dxa"/>
            <w:gridSpan w:val="4"/>
            <w:vAlign w:val="center"/>
          </w:tcPr>
          <w:p w:rsidR="007039BC" w:rsidRDefault="00E963B0">
            <w:pPr>
              <w:spacing w:line="240" w:lineRule="auto"/>
              <w:ind w:firstLine="0"/>
              <w:jc w:val="center"/>
              <w:rPr>
                <w:rFonts w:eastAsia="仿宋_GB2312"/>
                <w:snapToGrid/>
                <w:color w:val="000000"/>
                <w:sz w:val="20"/>
              </w:rPr>
            </w:pPr>
            <w:r>
              <w:rPr>
                <w:rFonts w:eastAsia="仿宋_GB2312"/>
                <w:snapToGrid/>
                <w:color w:val="000000"/>
                <w:sz w:val="20"/>
              </w:rPr>
              <w:t>第二十条第（六）项</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392" w:type="dxa"/>
            <w:gridSpan w:val="3"/>
            <w:vAlign w:val="center"/>
          </w:tcPr>
          <w:p w:rsidR="007039BC" w:rsidRDefault="00E963B0">
            <w:pPr>
              <w:spacing w:line="240" w:lineRule="auto"/>
              <w:ind w:firstLine="0"/>
              <w:jc w:val="center"/>
              <w:rPr>
                <w:rFonts w:eastAsia="仿宋_GB2312"/>
                <w:sz w:val="20"/>
              </w:rPr>
            </w:pPr>
            <w:r>
              <w:rPr>
                <w:rFonts w:eastAsia="仿宋_GB2312"/>
                <w:snapToGrid/>
                <w:color w:val="000000"/>
                <w:sz w:val="20"/>
              </w:rPr>
              <w:t>本年处理决定数量</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行政处罚</w:t>
            </w:r>
          </w:p>
        </w:tc>
        <w:tc>
          <w:tcPr>
            <w:tcW w:w="6392" w:type="dxa"/>
            <w:gridSpan w:val="3"/>
            <w:vAlign w:val="center"/>
          </w:tcPr>
          <w:p w:rsidR="007039BC" w:rsidRDefault="00E963B0">
            <w:pPr>
              <w:spacing w:line="240" w:lineRule="auto"/>
              <w:ind w:firstLine="0"/>
              <w:jc w:val="center"/>
              <w:rPr>
                <w:rFonts w:eastAsia="仿宋_GB2312"/>
                <w:sz w:val="20"/>
              </w:rPr>
            </w:pPr>
            <w:r>
              <w:rPr>
                <w:rFonts w:eastAsia="仿宋_GB2312"/>
                <w:sz w:val="20"/>
              </w:rPr>
              <w:t>0</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行政强制</w:t>
            </w:r>
          </w:p>
        </w:tc>
        <w:tc>
          <w:tcPr>
            <w:tcW w:w="6392" w:type="dxa"/>
            <w:gridSpan w:val="3"/>
            <w:vAlign w:val="center"/>
          </w:tcPr>
          <w:p w:rsidR="007039BC" w:rsidRDefault="00E963B0">
            <w:pPr>
              <w:spacing w:line="240" w:lineRule="auto"/>
              <w:ind w:firstLine="0"/>
              <w:jc w:val="center"/>
              <w:rPr>
                <w:rFonts w:eastAsia="仿宋_GB2312"/>
                <w:sz w:val="20"/>
              </w:rPr>
            </w:pPr>
            <w:r>
              <w:rPr>
                <w:rFonts w:eastAsia="仿宋_GB2312"/>
                <w:sz w:val="20"/>
              </w:rPr>
              <w:t>0</w:t>
            </w:r>
          </w:p>
        </w:tc>
      </w:tr>
      <w:tr w:rsidR="007039BC">
        <w:trPr>
          <w:trHeight w:hRule="exact" w:val="567"/>
          <w:jc w:val="center"/>
        </w:trPr>
        <w:tc>
          <w:tcPr>
            <w:tcW w:w="8981" w:type="dxa"/>
            <w:gridSpan w:val="4"/>
            <w:vAlign w:val="center"/>
          </w:tcPr>
          <w:p w:rsidR="007039BC" w:rsidRDefault="00E963B0">
            <w:pPr>
              <w:spacing w:line="240" w:lineRule="auto"/>
              <w:ind w:firstLine="0"/>
              <w:jc w:val="center"/>
              <w:rPr>
                <w:rFonts w:eastAsia="仿宋_GB2312"/>
                <w:snapToGrid/>
                <w:color w:val="000000"/>
                <w:sz w:val="20"/>
              </w:rPr>
            </w:pPr>
            <w:r>
              <w:rPr>
                <w:rFonts w:eastAsia="仿宋_GB2312"/>
                <w:snapToGrid/>
                <w:color w:val="000000"/>
                <w:sz w:val="20"/>
              </w:rPr>
              <w:t>第二十条第（八）项</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信息内容</w:t>
            </w:r>
          </w:p>
        </w:tc>
        <w:tc>
          <w:tcPr>
            <w:tcW w:w="6392" w:type="dxa"/>
            <w:gridSpan w:val="3"/>
            <w:vAlign w:val="center"/>
          </w:tcPr>
          <w:p w:rsidR="007039BC" w:rsidRDefault="00E963B0">
            <w:pPr>
              <w:spacing w:line="240" w:lineRule="auto"/>
              <w:ind w:firstLine="0"/>
              <w:jc w:val="center"/>
              <w:rPr>
                <w:rFonts w:eastAsia="仿宋_GB2312"/>
                <w:sz w:val="20"/>
              </w:rPr>
            </w:pPr>
            <w:r>
              <w:rPr>
                <w:rFonts w:eastAsia="仿宋_GB2312"/>
                <w:snapToGrid/>
                <w:color w:val="000000"/>
                <w:sz w:val="20"/>
              </w:rPr>
              <w:t>本年收费金额（单位：万元）</w:t>
            </w:r>
          </w:p>
        </w:tc>
      </w:tr>
      <w:tr w:rsidR="007039BC">
        <w:trPr>
          <w:trHeight w:hRule="exact" w:val="567"/>
          <w:jc w:val="center"/>
        </w:trPr>
        <w:tc>
          <w:tcPr>
            <w:tcW w:w="2589" w:type="dxa"/>
            <w:vAlign w:val="center"/>
          </w:tcPr>
          <w:p w:rsidR="007039BC" w:rsidRDefault="00E963B0">
            <w:pPr>
              <w:widowControl/>
              <w:autoSpaceDE/>
              <w:autoSpaceDN/>
              <w:snapToGrid/>
              <w:spacing w:line="240" w:lineRule="auto"/>
              <w:ind w:firstLine="0"/>
              <w:jc w:val="center"/>
              <w:rPr>
                <w:rFonts w:eastAsia="仿宋_GB2312"/>
                <w:snapToGrid/>
                <w:color w:val="000000"/>
                <w:sz w:val="20"/>
              </w:rPr>
            </w:pPr>
            <w:r>
              <w:rPr>
                <w:rFonts w:eastAsia="仿宋_GB2312"/>
                <w:snapToGrid/>
                <w:color w:val="000000"/>
                <w:sz w:val="20"/>
              </w:rPr>
              <w:t>行政事业性收费</w:t>
            </w:r>
          </w:p>
        </w:tc>
        <w:tc>
          <w:tcPr>
            <w:tcW w:w="6392" w:type="dxa"/>
            <w:gridSpan w:val="3"/>
            <w:vAlign w:val="center"/>
          </w:tcPr>
          <w:p w:rsidR="007039BC" w:rsidRDefault="00E963B0">
            <w:pPr>
              <w:spacing w:line="240" w:lineRule="auto"/>
              <w:ind w:firstLine="0"/>
              <w:jc w:val="center"/>
              <w:rPr>
                <w:rFonts w:eastAsia="仿宋_GB2312"/>
                <w:sz w:val="20"/>
              </w:rPr>
            </w:pPr>
            <w:r>
              <w:rPr>
                <w:rFonts w:eastAsia="仿宋_GB2312"/>
                <w:sz w:val="20"/>
              </w:rPr>
              <w:t>0</w:t>
            </w:r>
          </w:p>
        </w:tc>
      </w:tr>
    </w:tbl>
    <w:p w:rsidR="007039BC" w:rsidRDefault="007039BC">
      <w:pPr>
        <w:spacing w:line="240" w:lineRule="auto"/>
        <w:ind w:firstLine="0"/>
        <w:rPr>
          <w:rFonts w:eastAsia="仿宋_GB2312"/>
          <w:sz w:val="30"/>
          <w:szCs w:val="30"/>
        </w:rPr>
      </w:pPr>
    </w:p>
    <w:p w:rsidR="007039BC" w:rsidRDefault="007039BC">
      <w:pPr>
        <w:spacing w:line="600" w:lineRule="exact"/>
        <w:ind w:firstLineChars="200" w:firstLine="640"/>
        <w:rPr>
          <w:rFonts w:eastAsia="仿宋_GB2312"/>
          <w:szCs w:val="32"/>
        </w:rPr>
      </w:pPr>
    </w:p>
    <w:p w:rsidR="007039BC" w:rsidRDefault="007039BC">
      <w:pPr>
        <w:spacing w:line="600" w:lineRule="exact"/>
        <w:ind w:firstLineChars="200" w:firstLine="640"/>
        <w:rPr>
          <w:rFonts w:eastAsia="仿宋_GB2312"/>
          <w:szCs w:val="32"/>
        </w:rPr>
      </w:pPr>
    </w:p>
    <w:p w:rsidR="007039BC" w:rsidRDefault="00E963B0">
      <w:pPr>
        <w:rPr>
          <w:rFonts w:eastAsia="仿宋_GB2312"/>
          <w:szCs w:val="32"/>
        </w:rPr>
      </w:pPr>
      <w:r>
        <w:rPr>
          <w:rFonts w:eastAsia="仿宋_GB2312"/>
          <w:szCs w:val="32"/>
        </w:rPr>
        <w:br w:type="page"/>
      </w:r>
    </w:p>
    <w:p w:rsidR="007039BC" w:rsidRDefault="00E963B0">
      <w:pPr>
        <w:spacing w:line="560" w:lineRule="exact"/>
        <w:ind w:firstLineChars="200" w:firstLine="640"/>
        <w:rPr>
          <w:rFonts w:ascii="黑体" w:eastAsia="黑体" w:hAnsi="黑体" w:cs="黑体"/>
          <w:szCs w:val="32"/>
        </w:rPr>
      </w:pPr>
      <w:r>
        <w:rPr>
          <w:rFonts w:ascii="黑体" w:eastAsia="黑体" w:hAnsi="黑体" w:cs="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7039BC">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（本列数据的勾</w:t>
            </w:r>
            <w:proofErr w:type="gramStart"/>
            <w:r>
              <w:rPr>
                <w:rFonts w:eastAsia="仿宋_GB2312"/>
                <w:snapToGrid/>
                <w:sz w:val="20"/>
              </w:rPr>
              <w:t>稽</w:t>
            </w:r>
            <w:proofErr w:type="gramEnd"/>
            <w:r>
              <w:rPr>
                <w:rFonts w:eastAsia="仿宋_GB2312"/>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申请人情况</w:t>
            </w:r>
          </w:p>
        </w:tc>
      </w:tr>
      <w:tr w:rsidR="007039B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总计</w:t>
            </w:r>
          </w:p>
        </w:tc>
      </w:tr>
      <w:tr w:rsidR="007039BC">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850" w:type="dxa"/>
            <w:vMerge/>
            <w:tcBorders>
              <w:top w:val="nil"/>
              <w:left w:val="nil"/>
              <w:bottom w:val="single"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商业</w:t>
            </w:r>
          </w:p>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科研</w:t>
            </w:r>
          </w:p>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r>
      <w:tr w:rsidR="007039B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（二）部分公开（区分处理的，只计这一情形，不计其他情形）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1.</w:t>
            </w:r>
            <w:r>
              <w:rPr>
                <w:rFonts w:eastAsia="仿宋_GB2312"/>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2.</w:t>
            </w:r>
            <w:r>
              <w:rPr>
                <w:rFonts w:eastAsia="仿宋_GB2312"/>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危及</w:t>
            </w:r>
            <w:r>
              <w:rPr>
                <w:rFonts w:eastAsia="仿宋_GB2312"/>
                <w:snapToGrid/>
                <w:sz w:val="20"/>
              </w:rPr>
              <w:t>“</w:t>
            </w:r>
            <w:r>
              <w:rPr>
                <w:rFonts w:eastAsia="仿宋_GB2312"/>
                <w:snapToGrid/>
                <w:sz w:val="20"/>
              </w:rPr>
              <w:t>三安全</w:t>
            </w:r>
            <w:proofErr w:type="gramStart"/>
            <w:r>
              <w:rPr>
                <w:rFonts w:eastAsia="仿宋_GB2312"/>
                <w:snapToGrid/>
                <w:sz w:val="20"/>
              </w:rPr>
              <w:t>一</w:t>
            </w:r>
            <w:proofErr w:type="gramEnd"/>
            <w:r>
              <w:rPr>
                <w:rFonts w:eastAsia="仿宋_GB2312"/>
                <w:snapToGrid/>
                <w:sz w:val="20"/>
              </w:rPr>
              <w:t>稳定</w:t>
            </w:r>
            <w:r>
              <w:rPr>
                <w:rFonts w:eastAsia="仿宋_GB2312"/>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4.</w:t>
            </w:r>
            <w:r>
              <w:rPr>
                <w:rFonts w:eastAsia="仿宋_GB2312"/>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5.</w:t>
            </w:r>
            <w:r>
              <w:rPr>
                <w:rFonts w:eastAsia="仿宋_GB2312"/>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6.</w:t>
            </w:r>
            <w:r>
              <w:rPr>
                <w:rFonts w:eastAsia="仿宋_GB2312"/>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7.</w:t>
            </w:r>
            <w:r>
              <w:rPr>
                <w:rFonts w:eastAsia="仿宋_GB2312"/>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8.</w:t>
            </w:r>
            <w:r>
              <w:rPr>
                <w:rFonts w:eastAsia="仿宋_GB2312"/>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1.</w:t>
            </w:r>
            <w:r>
              <w:rPr>
                <w:rFonts w:eastAsia="仿宋_GB2312"/>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2.</w:t>
            </w:r>
            <w:r>
              <w:rPr>
                <w:rFonts w:eastAsia="仿宋_GB2312"/>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（五）</w:t>
            </w:r>
            <w:proofErr w:type="gramStart"/>
            <w:r>
              <w:rPr>
                <w:rFonts w:eastAsia="仿宋_GB2312"/>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1.</w:t>
            </w:r>
            <w:r>
              <w:rPr>
                <w:rFonts w:eastAsia="仿宋_GB2312"/>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2.</w:t>
            </w:r>
            <w:r>
              <w:rPr>
                <w:rFonts w:eastAsia="仿宋_GB2312"/>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4.</w:t>
            </w:r>
            <w:r>
              <w:rPr>
                <w:rFonts w:eastAsia="仿宋_GB2312"/>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trHeight w:val="614"/>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nil"/>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rPr>
                <w:rFonts w:eastAsia="仿宋_GB2312"/>
                <w:snapToGrid/>
                <w:sz w:val="24"/>
                <w:szCs w:val="24"/>
              </w:rPr>
            </w:pPr>
            <w:r>
              <w:rPr>
                <w:rFonts w:eastAsia="仿宋_GB2312"/>
                <w:snapToGrid/>
                <w:sz w:val="20"/>
              </w:rPr>
              <w:t>5.</w:t>
            </w:r>
            <w:r>
              <w:rPr>
                <w:rFonts w:eastAsia="仿宋_GB2312"/>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trHeight w:val="891"/>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rPr>
                <w:rFonts w:eastAsia="仿宋_GB2312"/>
                <w:snapToGrid/>
                <w:sz w:val="24"/>
                <w:szCs w:val="24"/>
              </w:rPr>
            </w:pPr>
            <w:r>
              <w:rPr>
                <w:rFonts w:eastAsia="仿宋_GB2312"/>
                <w:snapToGrid/>
                <w:sz w:val="20"/>
              </w:rPr>
              <w:t>1.</w:t>
            </w:r>
            <w:r>
              <w:rPr>
                <w:rFonts w:eastAsia="仿宋_GB2312"/>
                <w:snapToGrid/>
                <w:sz w:val="20"/>
              </w:rPr>
              <w:t>申请人无正当理由逾期</w:t>
            </w:r>
            <w:proofErr w:type="gramStart"/>
            <w:r>
              <w:rPr>
                <w:rFonts w:eastAsia="仿宋_GB2312"/>
                <w:snapToGrid/>
                <w:sz w:val="20"/>
              </w:rPr>
              <w:t>不</w:t>
            </w:r>
            <w:proofErr w:type="gramEnd"/>
            <w:r>
              <w:rPr>
                <w:rFonts w:eastAsia="仿宋_GB2312"/>
                <w:snapToGrid/>
                <w:sz w:val="20"/>
              </w:rPr>
              <w:t>补正、行政机关</w:t>
            </w:r>
            <w:proofErr w:type="gramStart"/>
            <w:r>
              <w:rPr>
                <w:rFonts w:eastAsia="仿宋_GB2312"/>
                <w:snapToGrid/>
                <w:sz w:val="20"/>
              </w:rPr>
              <w:t>不</w:t>
            </w:r>
            <w:proofErr w:type="gramEnd"/>
            <w:r>
              <w:rPr>
                <w:rFonts w:eastAsia="仿宋_GB2312"/>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rPr>
                <w:rFonts w:eastAsia="仿宋_GB2312"/>
                <w:snapToGrid/>
                <w:sz w:val="24"/>
                <w:szCs w:val="24"/>
              </w:rPr>
            </w:pPr>
            <w:r>
              <w:rPr>
                <w:rFonts w:eastAsia="仿宋_GB2312"/>
                <w:snapToGrid/>
                <w:sz w:val="20"/>
              </w:rPr>
              <w:t>2.</w:t>
            </w:r>
            <w:r>
              <w:rPr>
                <w:rFonts w:eastAsia="仿宋_GB2312"/>
                <w:snapToGrid/>
                <w:sz w:val="20"/>
              </w:rPr>
              <w:t>申请人逾期未按收费通知要求缴纳费用、行政机关</w:t>
            </w:r>
            <w:proofErr w:type="gramStart"/>
            <w:r>
              <w:rPr>
                <w:rFonts w:eastAsia="仿宋_GB2312"/>
                <w:snapToGrid/>
                <w:sz w:val="20"/>
              </w:rPr>
              <w:t>不</w:t>
            </w:r>
            <w:proofErr w:type="gramEnd"/>
            <w:r>
              <w:rPr>
                <w:rFonts w:eastAsia="仿宋_GB2312"/>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3.</w:t>
            </w:r>
            <w:r>
              <w:rPr>
                <w:rFonts w:eastAsia="仿宋_GB2312"/>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768" w:type="dxa"/>
            <w:vMerge/>
            <w:tcBorders>
              <w:top w:val="nil"/>
              <w:left w:val="single" w:sz="8" w:space="0" w:color="auto"/>
              <w:bottom w:val="inset"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r w:rsidR="007039BC">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left"/>
              <w:rPr>
                <w:rFonts w:eastAsia="仿宋_GB2312"/>
                <w:snapToGrid/>
                <w:sz w:val="24"/>
                <w:szCs w:val="24"/>
              </w:rPr>
            </w:pPr>
            <w:r>
              <w:rPr>
                <w:rFonts w:eastAsia="仿宋_GB2312"/>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r>
    </w:tbl>
    <w:p w:rsidR="007039BC" w:rsidRDefault="007039BC">
      <w:pPr>
        <w:spacing w:line="240" w:lineRule="auto"/>
        <w:ind w:firstLineChars="200" w:firstLine="600"/>
        <w:rPr>
          <w:rFonts w:eastAsia="仿宋_GB2312"/>
          <w:sz w:val="30"/>
          <w:szCs w:val="30"/>
        </w:rPr>
      </w:pPr>
    </w:p>
    <w:p w:rsidR="007039BC" w:rsidRDefault="007039BC">
      <w:pPr>
        <w:spacing w:line="240" w:lineRule="auto"/>
        <w:ind w:firstLine="0"/>
        <w:rPr>
          <w:rFonts w:eastAsia="仿宋_GB2312"/>
          <w:sz w:val="30"/>
          <w:szCs w:val="30"/>
        </w:rPr>
      </w:pPr>
    </w:p>
    <w:p w:rsidR="007039BC" w:rsidRDefault="00E963B0">
      <w:pPr>
        <w:spacing w:line="560" w:lineRule="exact"/>
        <w:ind w:firstLineChars="200" w:firstLine="640"/>
        <w:rPr>
          <w:rFonts w:ascii="黑体" w:eastAsia="黑体" w:hAnsi="黑体" w:cs="黑体"/>
          <w:szCs w:val="32"/>
        </w:rPr>
      </w:pPr>
      <w:r>
        <w:rPr>
          <w:rFonts w:ascii="黑体" w:eastAsia="黑体" w:hAnsi="黑体" w:cs="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7039BC">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行政诉讼</w:t>
            </w:r>
          </w:p>
        </w:tc>
      </w:tr>
      <w:tr w:rsidR="007039BC">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其他</w:t>
            </w:r>
            <w:r>
              <w:rPr>
                <w:rFonts w:eastAsia="仿宋_GB2312"/>
                <w:snapToGrid/>
                <w:sz w:val="20"/>
              </w:rPr>
              <w:br/>
            </w:r>
            <w:r>
              <w:rPr>
                <w:rFonts w:eastAsia="仿宋_GB2312"/>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尚未</w:t>
            </w:r>
            <w:r>
              <w:rPr>
                <w:rFonts w:eastAsia="仿宋_GB2312"/>
                <w:snapToGrid/>
                <w:sz w:val="20"/>
              </w:rPr>
              <w:br/>
            </w:r>
            <w:r>
              <w:rPr>
                <w:rFonts w:eastAsia="仿宋_GB2312"/>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复议后起诉</w:t>
            </w:r>
          </w:p>
        </w:tc>
      </w:tr>
      <w:tr w:rsidR="007039BC">
        <w:trPr>
          <w:jc w:val="center"/>
        </w:trPr>
        <w:tc>
          <w:tcPr>
            <w:tcW w:w="0" w:type="auto"/>
            <w:vMerge/>
            <w:tcBorders>
              <w:top w:val="nil"/>
              <w:left w:val="single" w:sz="8" w:space="0" w:color="auto"/>
              <w:bottom w:val="single"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7039BC" w:rsidRDefault="007039BC">
            <w:pPr>
              <w:widowControl/>
              <w:autoSpaceDE/>
              <w:autoSpaceDN/>
              <w:snapToGrid/>
              <w:spacing w:line="240" w:lineRule="auto"/>
              <w:ind w:firstLine="0"/>
              <w:jc w:val="left"/>
              <w:rPr>
                <w:rFonts w:eastAsia="仿宋_GB2312"/>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其他</w:t>
            </w:r>
            <w:r>
              <w:rPr>
                <w:rFonts w:eastAsia="仿宋_GB2312"/>
                <w:snapToGrid/>
                <w:sz w:val="20"/>
              </w:rPr>
              <w:br/>
            </w:r>
            <w:r>
              <w:rPr>
                <w:rFonts w:eastAsia="仿宋_GB2312"/>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尚未</w:t>
            </w:r>
            <w:r>
              <w:rPr>
                <w:rFonts w:eastAsia="仿宋_GB2312"/>
                <w:snapToGrid/>
                <w:sz w:val="20"/>
              </w:rPr>
              <w:br/>
            </w:r>
            <w:r>
              <w:rPr>
                <w:rFonts w:eastAsia="仿宋_GB2312"/>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结果</w:t>
            </w:r>
            <w:r>
              <w:rPr>
                <w:rFonts w:eastAsia="仿宋_GB2312"/>
                <w:snapToGrid/>
                <w:sz w:val="20"/>
              </w:rPr>
              <w:br/>
            </w:r>
            <w:r>
              <w:rPr>
                <w:rFonts w:eastAsia="仿宋_GB2312"/>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其他</w:t>
            </w:r>
            <w:r>
              <w:rPr>
                <w:rFonts w:eastAsia="仿宋_GB2312"/>
                <w:snapToGrid/>
                <w:color w:val="000000"/>
                <w:sz w:val="20"/>
              </w:rPr>
              <w:br/>
            </w:r>
            <w:r>
              <w:rPr>
                <w:rFonts w:eastAsia="仿宋_GB2312"/>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尚未</w:t>
            </w:r>
            <w:r>
              <w:rPr>
                <w:rFonts w:eastAsia="仿宋_GB2312"/>
                <w:snapToGrid/>
                <w:sz w:val="20"/>
              </w:rPr>
              <w:br/>
            </w:r>
            <w:r>
              <w:rPr>
                <w:rFonts w:eastAsia="仿宋_GB2312"/>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color w:val="000000"/>
                <w:sz w:val="20"/>
              </w:rPr>
              <w:t>总计</w:t>
            </w:r>
          </w:p>
        </w:tc>
      </w:tr>
      <w:tr w:rsidR="007039BC">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039BC" w:rsidRDefault="00E963B0">
            <w:pPr>
              <w:widowControl/>
              <w:autoSpaceDE/>
              <w:autoSpaceDN/>
              <w:snapToGrid/>
              <w:spacing w:line="240" w:lineRule="auto"/>
              <w:ind w:firstLine="0"/>
              <w:jc w:val="center"/>
              <w:rPr>
                <w:rFonts w:eastAsia="仿宋_GB2312"/>
                <w:snapToGrid/>
                <w:sz w:val="24"/>
                <w:szCs w:val="24"/>
              </w:rPr>
            </w:pPr>
            <w:r>
              <w:rPr>
                <w:rFonts w:eastAsia="仿宋_GB2312"/>
                <w:snapToGrid/>
                <w:sz w:val="24"/>
                <w:szCs w:val="24"/>
              </w:rPr>
              <w:t>0</w:t>
            </w:r>
          </w:p>
        </w:tc>
      </w:tr>
    </w:tbl>
    <w:p w:rsidR="007039BC" w:rsidRDefault="00E963B0">
      <w:pPr>
        <w:spacing w:line="560" w:lineRule="exact"/>
        <w:ind w:firstLineChars="200" w:firstLine="640"/>
        <w:rPr>
          <w:rFonts w:ascii="黑体" w:eastAsia="黑体" w:hAnsi="黑体" w:cs="黑体"/>
          <w:szCs w:val="32"/>
        </w:rPr>
      </w:pPr>
      <w:r>
        <w:rPr>
          <w:rFonts w:ascii="黑体" w:eastAsia="黑体" w:hAnsi="黑体" w:cs="黑体"/>
          <w:szCs w:val="32"/>
        </w:rPr>
        <w:t>五、存在的主要问题及改进情况</w:t>
      </w:r>
    </w:p>
    <w:p w:rsidR="007039BC" w:rsidRDefault="00E963B0">
      <w:pPr>
        <w:spacing w:line="580" w:lineRule="exact"/>
        <w:ind w:firstLineChars="200" w:firstLine="640"/>
        <w:rPr>
          <w:rFonts w:ascii="楷体_GB2312" w:eastAsia="楷体_GB2312" w:hAnsi="楷体_GB2312" w:cs="楷体_GB2312"/>
        </w:rPr>
      </w:pPr>
      <w:r>
        <w:rPr>
          <w:rFonts w:ascii="楷体_GB2312" w:eastAsia="楷体_GB2312" w:hAnsi="楷体_GB2312" w:cs="楷体_GB2312"/>
        </w:rPr>
        <w:t>（一）存在问题</w:t>
      </w:r>
    </w:p>
    <w:p w:rsidR="0093698F" w:rsidRDefault="00E963B0" w:rsidP="0093698F">
      <w:pPr>
        <w:spacing w:line="580" w:lineRule="exact"/>
        <w:ind w:firstLineChars="200" w:firstLine="640"/>
        <w:rPr>
          <w:rFonts w:ascii="仿宋_GB2312" w:eastAsia="仿宋_GB2312" w:hAnsi="仿宋_GB2312" w:cs="仿宋_GB2312" w:hint="eastAsia"/>
        </w:rPr>
      </w:pPr>
      <w:r>
        <w:rPr>
          <w:rFonts w:ascii="仿宋_GB2312" w:eastAsia="仿宋_GB2312" w:hAnsi="仿宋_GB2312" w:cs="仿宋_GB2312"/>
        </w:rPr>
        <w:t>202</w:t>
      </w:r>
      <w:r>
        <w:rPr>
          <w:rFonts w:ascii="仿宋_GB2312" w:eastAsia="仿宋_GB2312" w:hAnsi="仿宋_GB2312" w:cs="仿宋_GB2312"/>
        </w:rPr>
        <w:t>2</w:t>
      </w:r>
      <w:r>
        <w:rPr>
          <w:rFonts w:ascii="仿宋_GB2312" w:eastAsia="仿宋_GB2312" w:hAnsi="仿宋_GB2312" w:cs="仿宋_GB2312"/>
        </w:rPr>
        <w:t>年</w:t>
      </w:r>
      <w:r w:rsidR="000F585D">
        <w:rPr>
          <w:rFonts w:ascii="仿宋_GB2312" w:eastAsia="仿宋_GB2312" w:hAnsi="仿宋_GB2312" w:cs="仿宋_GB2312" w:hint="eastAsia"/>
        </w:rPr>
        <w:t>政务公开</w:t>
      </w:r>
      <w:r>
        <w:rPr>
          <w:rFonts w:ascii="仿宋_GB2312" w:eastAsia="仿宋_GB2312" w:hAnsi="仿宋_GB2312" w:cs="仿宋_GB2312"/>
        </w:rPr>
        <w:t>工作虽取得了一定成效，但也存在一些问题和不足：</w:t>
      </w:r>
      <w:r w:rsidRPr="0093698F">
        <w:rPr>
          <w:rFonts w:ascii="仿宋_GB2312" w:eastAsia="仿宋_GB2312" w:hAnsi="仿宋_GB2312" w:cs="仿宋_GB2312"/>
        </w:rPr>
        <w:t>一是</w:t>
      </w:r>
      <w:r w:rsidR="000F585D">
        <w:rPr>
          <w:rFonts w:ascii="仿宋_GB2312" w:eastAsia="仿宋_GB2312" w:hAnsi="仿宋_GB2312" w:cs="仿宋_GB2312" w:hint="eastAsia"/>
        </w:rPr>
        <w:t>信息公开</w:t>
      </w:r>
      <w:r>
        <w:rPr>
          <w:rFonts w:ascii="仿宋_GB2312" w:eastAsia="仿宋_GB2312" w:hAnsi="仿宋_GB2312" w:cs="仿宋_GB2312"/>
        </w:rPr>
        <w:t>的时效性和规范性有待进一步加强</w:t>
      </w:r>
      <w:r w:rsidR="0093698F">
        <w:rPr>
          <w:rFonts w:ascii="仿宋_GB2312" w:eastAsia="仿宋_GB2312" w:hAnsi="仿宋_GB2312" w:cs="仿宋_GB2312" w:hint="eastAsia"/>
        </w:rPr>
        <w:t>，例如有的政府信息在形成后没有及时予以公开，出现公开滞后问题，导致群众无法及时获取信息。</w:t>
      </w:r>
      <w:r w:rsidRPr="0093698F">
        <w:rPr>
          <w:rFonts w:ascii="仿宋_GB2312" w:eastAsia="仿宋_GB2312" w:hAnsi="仿宋_GB2312" w:cs="仿宋_GB2312"/>
        </w:rPr>
        <w:t>二是</w:t>
      </w:r>
      <w:r w:rsidR="0093698F" w:rsidRPr="0093698F">
        <w:rPr>
          <w:rFonts w:ascii="仿宋_GB2312" w:eastAsia="仿宋_GB2312" w:hAnsi="仿宋_GB2312" w:cs="仿宋_GB2312" w:hint="eastAsia"/>
        </w:rPr>
        <w:t>信息公开的</w:t>
      </w:r>
      <w:r w:rsidR="0093698F">
        <w:rPr>
          <w:rFonts w:ascii="仿宋_GB2312" w:eastAsia="仿宋_GB2312" w:hAnsi="仿宋_GB2312" w:cs="仿宋_GB2312"/>
        </w:rPr>
        <w:t>内容比较单一，工作动态类信息和通知公告类信息较多，</w:t>
      </w:r>
      <w:r w:rsidR="0093698F">
        <w:rPr>
          <w:rFonts w:ascii="仿宋_GB2312" w:eastAsia="仿宋_GB2312" w:hAnsi="仿宋_GB2312" w:cs="仿宋_GB2312" w:hint="eastAsia"/>
        </w:rPr>
        <w:t>业务工作方面的信息较少，例如企业和群众关注的招商信息还需要加大公开。</w:t>
      </w:r>
    </w:p>
    <w:p w:rsidR="0093698F" w:rsidRDefault="00E963B0" w:rsidP="0093698F">
      <w:pPr>
        <w:spacing w:line="580" w:lineRule="exact"/>
        <w:ind w:firstLineChars="200" w:firstLine="640"/>
        <w:rPr>
          <w:rFonts w:hint="eastAsia"/>
        </w:rPr>
      </w:pPr>
      <w:r>
        <w:rPr>
          <w:rFonts w:ascii="楷体_GB2312" w:eastAsia="楷体_GB2312" w:hAnsi="楷体_GB2312" w:cs="楷体_GB2312"/>
        </w:rPr>
        <w:t>（二）改进措施</w:t>
      </w:r>
    </w:p>
    <w:p w:rsidR="0093698F" w:rsidRDefault="0093698F" w:rsidP="0093698F">
      <w:pPr>
        <w:rPr>
          <w:rFonts w:ascii="仿宋_GB2312" w:eastAsia="仿宋_GB2312" w:hAnsi="仿宋_GB2312" w:cs="仿宋_GB2312" w:hint="eastAsia"/>
        </w:rPr>
      </w:pPr>
      <w:r w:rsidRPr="0093698F">
        <w:rPr>
          <w:rFonts w:ascii="仿宋_GB2312" w:eastAsia="仿宋_GB2312" w:hAnsi="仿宋_GB2312" w:cs="仿宋_GB2312" w:hint="eastAsia"/>
        </w:rPr>
        <w:t>一是加强业务培训，</w:t>
      </w:r>
      <w:r>
        <w:rPr>
          <w:rFonts w:ascii="仿宋_GB2312" w:eastAsia="仿宋_GB2312" w:hAnsi="仿宋_GB2312" w:cs="仿宋_GB2312" w:hint="eastAsia"/>
        </w:rPr>
        <w:t>重点加强对《条例》和上级政务公开工作要点的培训力度，提升工作人员业务素质，同时按照主动公开基本目录要求公开信息，严格信息公开时限，杜绝出现超期公开的问题。</w:t>
      </w:r>
    </w:p>
    <w:p w:rsidR="0093698F" w:rsidRPr="0093698F" w:rsidRDefault="0093698F" w:rsidP="0093698F">
      <w:pPr>
        <w:rPr>
          <w:rFonts w:ascii="仿宋_GB2312" w:eastAsia="仿宋_GB2312" w:hAnsi="仿宋_GB2312" w:cs="仿宋_GB2312" w:hint="eastAsia"/>
          <w:snapToGrid/>
        </w:rPr>
      </w:pPr>
      <w:r w:rsidRPr="0093698F">
        <w:rPr>
          <w:rFonts w:ascii="仿宋_GB2312" w:eastAsia="仿宋_GB2312" w:hAnsi="仿宋_GB2312" w:cs="仿宋_GB2312" w:hint="eastAsia"/>
          <w:snapToGrid/>
        </w:rPr>
        <w:t>二是</w:t>
      </w:r>
      <w:r>
        <w:rPr>
          <w:rFonts w:ascii="仿宋_GB2312" w:eastAsia="仿宋_GB2312" w:hAnsi="仿宋_GB2312" w:cs="仿宋_GB2312" w:hint="eastAsia"/>
          <w:snapToGrid/>
        </w:rPr>
        <w:t>加大信息公开力度，依托政府网站和政务新媒体，加大招商引资业务领域政府信息公开力度，通过开设专栏、短视频、图文解读等形式多元化公开信息，并积极回应群众关切，确保企业和群众可以在第一时间获取需要的信息。</w:t>
      </w:r>
    </w:p>
    <w:p w:rsidR="007039BC" w:rsidRDefault="00E963B0">
      <w:pPr>
        <w:spacing w:line="560" w:lineRule="exact"/>
        <w:ind w:firstLineChars="200" w:firstLine="640"/>
        <w:rPr>
          <w:rFonts w:ascii="黑体" w:eastAsia="黑体" w:hAnsi="黑体" w:cs="黑体"/>
          <w:szCs w:val="32"/>
        </w:rPr>
      </w:pPr>
      <w:r>
        <w:rPr>
          <w:rFonts w:ascii="黑体" w:eastAsia="黑体" w:hAnsi="黑体" w:cs="黑体"/>
          <w:szCs w:val="32"/>
        </w:rPr>
        <w:t>六、其他需要报告的事项</w:t>
      </w:r>
    </w:p>
    <w:p w:rsidR="007039BC" w:rsidRDefault="00E963B0">
      <w:pPr>
        <w:spacing w:line="580" w:lineRule="exact"/>
        <w:ind w:firstLineChars="200" w:firstLine="640"/>
        <w:rPr>
          <w:rFonts w:ascii="楷体_GB2312" w:eastAsia="楷体_GB2312" w:hAnsi="楷体_GB2312" w:cs="楷体_GB2312"/>
        </w:rPr>
      </w:pPr>
      <w:r>
        <w:rPr>
          <w:rFonts w:ascii="楷体_GB2312" w:eastAsia="楷体_GB2312" w:hAnsi="楷体_GB2312" w:cs="楷体_GB2312"/>
        </w:rPr>
        <w:lastRenderedPageBreak/>
        <w:t>（一）政府信息公开信息处理费收取情况</w:t>
      </w:r>
    </w:p>
    <w:p w:rsidR="007039BC" w:rsidRDefault="00E963B0">
      <w:pPr>
        <w:spacing w:line="580" w:lineRule="exact"/>
        <w:ind w:firstLineChars="200" w:firstLine="640"/>
        <w:rPr>
          <w:rFonts w:ascii="仿宋_GB2312" w:eastAsia="仿宋_GB2312" w:hAnsi="仿宋_GB2312" w:cs="仿宋_GB2312"/>
        </w:rPr>
      </w:pPr>
      <w:r>
        <w:rPr>
          <w:rFonts w:ascii="仿宋_GB2312" w:eastAsia="仿宋_GB2312" w:hAnsi="仿宋_GB2312" w:cs="仿宋_GB2312"/>
        </w:rPr>
        <w:t>本机关依申请提供政府信息，根据《国务院办公厅关于印发</w:t>
      </w:r>
      <w:r>
        <w:rPr>
          <w:rFonts w:ascii="仿宋_GB2312" w:eastAsia="仿宋_GB2312" w:hAnsi="仿宋_GB2312" w:cs="仿宋_GB2312"/>
        </w:rPr>
        <w:t>&lt;</w:t>
      </w:r>
      <w:r>
        <w:rPr>
          <w:rFonts w:ascii="仿宋_GB2312" w:eastAsia="仿宋_GB2312" w:hAnsi="仿宋_GB2312" w:cs="仿宋_GB2312"/>
        </w:rPr>
        <w:t>政府信息公开信息处理费管理办法</w:t>
      </w:r>
      <w:r>
        <w:rPr>
          <w:rFonts w:ascii="仿宋_GB2312" w:eastAsia="仿宋_GB2312" w:hAnsi="仿宋_GB2312" w:cs="仿宋_GB2312"/>
        </w:rPr>
        <w:t>&gt;</w:t>
      </w:r>
      <w:r>
        <w:rPr>
          <w:rFonts w:ascii="仿宋_GB2312" w:eastAsia="仿宋_GB2312" w:hAnsi="仿宋_GB2312" w:cs="仿宋_GB2312"/>
        </w:rPr>
        <w:t>的通知》（国办函〔</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109</w:t>
      </w:r>
      <w:r>
        <w:rPr>
          <w:rFonts w:ascii="仿宋_GB2312" w:eastAsia="仿宋_GB2312" w:hAnsi="仿宋_GB2312" w:cs="仿宋_GB2312"/>
        </w:rPr>
        <w:t>号）和《山东省人民政府办公厅关于做好政府信息公开信息处理费管理工作有关事项的通知》（鲁政办字〔</w:t>
      </w:r>
      <w:r>
        <w:rPr>
          <w:rFonts w:ascii="仿宋_GB2312" w:eastAsia="仿宋_GB2312" w:hAnsi="仿宋_GB2312" w:cs="仿宋_GB2312"/>
        </w:rPr>
        <w:t>2020</w:t>
      </w:r>
      <w:r>
        <w:rPr>
          <w:rFonts w:ascii="仿宋_GB2312" w:eastAsia="仿宋_GB2312" w:hAnsi="仿宋_GB2312" w:cs="仿宋_GB2312"/>
        </w:rPr>
        <w:t>〕</w:t>
      </w:r>
      <w:r>
        <w:rPr>
          <w:rFonts w:ascii="仿宋_GB2312" w:eastAsia="仿宋_GB2312" w:hAnsi="仿宋_GB2312" w:cs="仿宋_GB2312"/>
        </w:rPr>
        <w:t>179</w:t>
      </w:r>
      <w:r>
        <w:rPr>
          <w:rFonts w:ascii="仿宋_GB2312" w:eastAsia="仿宋_GB2312" w:hAnsi="仿宋_GB2312" w:cs="仿宋_GB2312"/>
        </w:rPr>
        <w:t>号）收取信息处理费。</w:t>
      </w:r>
      <w:r>
        <w:rPr>
          <w:rFonts w:ascii="仿宋_GB2312" w:eastAsia="仿宋_GB2312" w:hAnsi="仿宋_GB2312" w:cs="仿宋_GB2312"/>
        </w:rPr>
        <w:t>2022</w:t>
      </w:r>
      <w:r>
        <w:rPr>
          <w:rFonts w:ascii="仿宋_GB2312" w:eastAsia="仿宋_GB2312" w:hAnsi="仿宋_GB2312" w:cs="仿宋_GB2312"/>
        </w:rPr>
        <w:t>年本机关依申请公开政府信息未收取任何费用。</w:t>
      </w:r>
    </w:p>
    <w:p w:rsidR="007039BC" w:rsidRDefault="00E963B0">
      <w:pPr>
        <w:spacing w:line="580" w:lineRule="exact"/>
        <w:ind w:firstLineChars="200" w:firstLine="640"/>
        <w:rPr>
          <w:rFonts w:ascii="楷体_GB2312" w:eastAsia="楷体_GB2312" w:hAnsi="楷体_GB2312" w:cs="楷体_GB2312"/>
        </w:rPr>
      </w:pPr>
      <w:r>
        <w:rPr>
          <w:rFonts w:ascii="楷体_GB2312" w:eastAsia="楷体_GB2312" w:hAnsi="楷体_GB2312" w:cs="楷体_GB2312"/>
        </w:rPr>
        <w:t>（二）落实</w:t>
      </w:r>
      <w:r>
        <w:rPr>
          <w:rFonts w:ascii="楷体_GB2312" w:eastAsia="楷体_GB2312" w:hAnsi="楷体_GB2312" w:cs="楷体_GB2312"/>
        </w:rPr>
        <w:t>上级年度政务公开工作要点情况</w:t>
      </w:r>
    </w:p>
    <w:p w:rsidR="0093698F" w:rsidRDefault="0093698F" w:rsidP="0093698F">
      <w:pPr>
        <w:spacing w:line="580" w:lineRule="exact"/>
        <w:ind w:firstLineChars="200" w:firstLine="640"/>
        <w:rPr>
          <w:rFonts w:ascii="仿宋_GB2312" w:eastAsia="仿宋_GB2312" w:hint="eastAsia"/>
          <w:szCs w:val="32"/>
        </w:rPr>
      </w:pPr>
      <w:r w:rsidRPr="008D7D7C">
        <w:rPr>
          <w:rFonts w:ascii="仿宋_GB2312" w:eastAsia="仿宋_GB2312" w:hint="eastAsia"/>
          <w:szCs w:val="32"/>
        </w:rPr>
        <w:t>严格落实《国务院办公厅关于印发2022年政务公开工作要点的通知》《山东省人民政府办公厅关于印发2022年山东省政务公开工作要点的通知》</w:t>
      </w:r>
      <w:r>
        <w:rPr>
          <w:rFonts w:ascii="仿宋_GB2312" w:eastAsia="仿宋_GB2312" w:hint="eastAsia"/>
          <w:szCs w:val="32"/>
        </w:rPr>
        <w:t>，以及</w:t>
      </w:r>
      <w:r w:rsidRPr="008D7D7C">
        <w:rPr>
          <w:rFonts w:ascii="仿宋_GB2312" w:eastAsia="仿宋_GB2312" w:hint="eastAsia"/>
          <w:szCs w:val="32"/>
        </w:rPr>
        <w:t>《淄博市人民政府办公室关于印发2022年淄博市政务公开工作方案的通知》</w:t>
      </w:r>
      <w:r>
        <w:rPr>
          <w:rFonts w:ascii="仿宋_GB2312" w:eastAsia="仿宋_GB2312" w:hint="eastAsia"/>
          <w:szCs w:val="32"/>
        </w:rPr>
        <w:t>《</w:t>
      </w:r>
      <w:r w:rsidRPr="00BC42C2">
        <w:rPr>
          <w:rFonts w:ascii="仿宋_GB2312" w:eastAsia="仿宋_GB2312" w:hint="eastAsia"/>
          <w:szCs w:val="32"/>
        </w:rPr>
        <w:t>高青县人民政府办公室关于印发2022年高青县政务公开工作要点的通知</w:t>
      </w:r>
      <w:r>
        <w:rPr>
          <w:rFonts w:ascii="仿宋_GB2312" w:eastAsia="仿宋_GB2312" w:hint="eastAsia"/>
          <w:szCs w:val="32"/>
        </w:rPr>
        <w:t>》要求，扎实推进政务公开工作。</w:t>
      </w:r>
    </w:p>
    <w:p w:rsidR="007039BC" w:rsidRPr="0093698F" w:rsidRDefault="00E963B0" w:rsidP="0093698F">
      <w:pPr>
        <w:spacing w:line="580" w:lineRule="exact"/>
        <w:ind w:firstLineChars="200" w:firstLine="640"/>
        <w:rPr>
          <w:rFonts w:ascii="仿宋_GB2312" w:eastAsia="仿宋_GB2312"/>
          <w:szCs w:val="32"/>
        </w:rPr>
      </w:pPr>
      <w:r w:rsidRPr="0093698F">
        <w:rPr>
          <w:rFonts w:ascii="仿宋_GB2312" w:eastAsia="仿宋_GB2312"/>
          <w:szCs w:val="32"/>
        </w:rPr>
        <w:t>一是</w:t>
      </w:r>
      <w:r w:rsidRPr="0093698F">
        <w:rPr>
          <w:rFonts w:ascii="仿宋_GB2312" w:eastAsia="仿宋_GB2312"/>
          <w:szCs w:val="32"/>
        </w:rPr>
        <w:t>借助各类线上平台，确保招商引资工作</w:t>
      </w:r>
      <w:r w:rsidRPr="0093698F">
        <w:rPr>
          <w:rFonts w:ascii="仿宋_GB2312" w:eastAsia="仿宋_GB2312"/>
          <w:szCs w:val="32"/>
        </w:rPr>
        <w:t>“</w:t>
      </w:r>
      <w:r w:rsidRPr="0093698F">
        <w:rPr>
          <w:rFonts w:ascii="仿宋_GB2312" w:eastAsia="仿宋_GB2312"/>
          <w:szCs w:val="32"/>
        </w:rPr>
        <w:t>不下线</w:t>
      </w:r>
      <w:r w:rsidRPr="0093698F">
        <w:rPr>
          <w:rFonts w:ascii="仿宋_GB2312" w:eastAsia="仿宋_GB2312"/>
          <w:szCs w:val="32"/>
        </w:rPr>
        <w:t>”</w:t>
      </w:r>
      <w:r w:rsidRPr="0093698F">
        <w:rPr>
          <w:rFonts w:ascii="仿宋_GB2312" w:eastAsia="仿宋_GB2312"/>
          <w:szCs w:val="32"/>
        </w:rPr>
        <w:t>。充分利用各类线上平台联络相关客商，主动推送招商宣传片、招商指南、招商政策等信息。及时受理投资考察相关咨询问题，确保在最</w:t>
      </w:r>
      <w:r w:rsidRPr="0093698F">
        <w:rPr>
          <w:rFonts w:ascii="仿宋_GB2312" w:eastAsia="仿宋_GB2312"/>
          <w:szCs w:val="32"/>
        </w:rPr>
        <w:t>短期限内回复。精心谋划、筛选、确定重点招商项目，制作新版招商手册和宣传片，加大在各类平台公开推介力度，确保商机不失、推介加力。</w:t>
      </w:r>
    </w:p>
    <w:p w:rsidR="0093698F" w:rsidRDefault="00E963B0" w:rsidP="0093698F">
      <w:pPr>
        <w:spacing w:line="580" w:lineRule="exact"/>
        <w:ind w:firstLineChars="200" w:firstLine="640"/>
        <w:rPr>
          <w:rFonts w:ascii="仿宋_GB2312" w:eastAsia="仿宋_GB2312" w:hAnsi="仿宋_GB2312" w:cs="仿宋_GB2312" w:hint="eastAsia"/>
        </w:rPr>
      </w:pPr>
      <w:r w:rsidRPr="0093698F">
        <w:rPr>
          <w:rFonts w:ascii="仿宋_GB2312" w:eastAsia="仿宋_GB2312"/>
          <w:szCs w:val="32"/>
        </w:rPr>
        <w:t>二是</w:t>
      </w:r>
      <w:r w:rsidRPr="0093698F">
        <w:rPr>
          <w:rFonts w:ascii="仿宋_GB2312" w:eastAsia="仿宋_GB2312"/>
          <w:szCs w:val="32"/>
        </w:rPr>
        <w:t>拓宽信息发布渠道，实现招商动态实时公开。充分利用</w:t>
      </w:r>
      <w:r w:rsidRPr="0093698F">
        <w:rPr>
          <w:rFonts w:ascii="仿宋_GB2312" w:eastAsia="仿宋_GB2312"/>
          <w:szCs w:val="32"/>
        </w:rPr>
        <w:t>“</w:t>
      </w:r>
      <w:r w:rsidRPr="0093698F">
        <w:rPr>
          <w:rFonts w:ascii="仿宋_GB2312" w:eastAsia="仿宋_GB2312"/>
          <w:szCs w:val="32"/>
        </w:rPr>
        <w:t>投资高青</w:t>
      </w:r>
      <w:r w:rsidRPr="0093698F">
        <w:rPr>
          <w:rFonts w:ascii="仿宋_GB2312" w:eastAsia="仿宋_GB2312"/>
          <w:szCs w:val="32"/>
        </w:rPr>
        <w:t>”</w:t>
      </w:r>
      <w:proofErr w:type="gramStart"/>
      <w:r w:rsidRPr="0093698F">
        <w:rPr>
          <w:rFonts w:ascii="仿宋_GB2312" w:eastAsia="仿宋_GB2312"/>
          <w:szCs w:val="32"/>
        </w:rPr>
        <w:t>微信公众号</w:t>
      </w:r>
      <w:proofErr w:type="gramEnd"/>
      <w:r w:rsidRPr="0093698F">
        <w:rPr>
          <w:rFonts w:ascii="仿宋_GB2312" w:eastAsia="仿宋_GB2312"/>
          <w:szCs w:val="32"/>
        </w:rPr>
        <w:t>，分栏设立</w:t>
      </w:r>
      <w:r w:rsidRPr="0093698F">
        <w:rPr>
          <w:rFonts w:ascii="仿宋_GB2312" w:eastAsia="仿宋_GB2312"/>
          <w:szCs w:val="32"/>
        </w:rPr>
        <w:t>“</w:t>
      </w:r>
      <w:r>
        <w:rPr>
          <w:rFonts w:ascii="仿宋_GB2312" w:eastAsia="仿宋_GB2312" w:hAnsi="仿宋_GB2312" w:cs="仿宋_GB2312"/>
        </w:rPr>
        <w:t>高青概况</w:t>
      </w:r>
      <w:r>
        <w:rPr>
          <w:rFonts w:ascii="仿宋_GB2312" w:eastAsia="仿宋_GB2312" w:hAnsi="仿宋_GB2312" w:cs="仿宋_GB2312"/>
        </w:rPr>
        <w:t>”“</w:t>
      </w:r>
      <w:r>
        <w:rPr>
          <w:rFonts w:ascii="仿宋_GB2312" w:eastAsia="仿宋_GB2312" w:hAnsi="仿宋_GB2312" w:cs="仿宋_GB2312"/>
        </w:rPr>
        <w:t>招商项</w:t>
      </w:r>
      <w:r>
        <w:rPr>
          <w:rFonts w:ascii="仿宋_GB2312" w:eastAsia="仿宋_GB2312" w:hAnsi="仿宋_GB2312" w:cs="仿宋_GB2312"/>
        </w:rPr>
        <w:lastRenderedPageBreak/>
        <w:t>目</w:t>
      </w:r>
      <w:r>
        <w:rPr>
          <w:rFonts w:ascii="仿宋_GB2312" w:eastAsia="仿宋_GB2312" w:hAnsi="仿宋_GB2312" w:cs="仿宋_GB2312"/>
        </w:rPr>
        <w:t>”“</w:t>
      </w:r>
      <w:r>
        <w:rPr>
          <w:rFonts w:ascii="仿宋_GB2312" w:eastAsia="仿宋_GB2312" w:hAnsi="仿宋_GB2312" w:cs="仿宋_GB2312"/>
        </w:rPr>
        <w:t>高青招商</w:t>
      </w:r>
      <w:r>
        <w:rPr>
          <w:rFonts w:ascii="仿宋_GB2312" w:eastAsia="仿宋_GB2312" w:hAnsi="仿宋_GB2312" w:cs="仿宋_GB2312"/>
        </w:rPr>
        <w:t>”</w:t>
      </w:r>
      <w:r>
        <w:rPr>
          <w:rFonts w:ascii="仿宋_GB2312" w:eastAsia="仿宋_GB2312" w:hAnsi="仿宋_GB2312" w:cs="仿宋_GB2312"/>
        </w:rPr>
        <w:t>，聚焦高青产业特色，介绍高青概况、投资环境、招商动态、招商政策等内容，实时公开</w:t>
      </w:r>
      <w:r>
        <w:rPr>
          <w:rFonts w:ascii="仿宋_GB2312" w:eastAsia="仿宋_GB2312" w:hAnsi="仿宋_GB2312" w:cs="仿宋_GB2312"/>
        </w:rPr>
        <w:t>“</w:t>
      </w:r>
      <w:r>
        <w:rPr>
          <w:rFonts w:ascii="仿宋_GB2312" w:eastAsia="仿宋_GB2312" w:hAnsi="仿宋_GB2312" w:cs="仿宋_GB2312"/>
        </w:rPr>
        <w:t>双招双引</w:t>
      </w:r>
      <w:r>
        <w:rPr>
          <w:rFonts w:ascii="仿宋_GB2312" w:eastAsia="仿宋_GB2312" w:hAnsi="仿宋_GB2312" w:cs="仿宋_GB2312"/>
        </w:rPr>
        <w:t>”</w:t>
      </w:r>
      <w:r>
        <w:rPr>
          <w:rFonts w:ascii="仿宋_GB2312" w:eastAsia="仿宋_GB2312" w:hAnsi="仿宋_GB2312" w:cs="仿宋_GB2312"/>
        </w:rPr>
        <w:t>工作动态和招商资源信息，开展项目推介，方便公众及时、便捷、精准了解招商引资工作的新情况和新进展。</w:t>
      </w:r>
    </w:p>
    <w:p w:rsidR="007039BC" w:rsidRDefault="00E963B0" w:rsidP="0093698F">
      <w:pPr>
        <w:spacing w:line="580" w:lineRule="exact"/>
        <w:ind w:firstLineChars="200" w:firstLine="640"/>
        <w:rPr>
          <w:rFonts w:ascii="仿宋_GB2312" w:eastAsia="仿宋_GB2312" w:hAnsi="仿宋_GB2312" w:cs="仿宋_GB2312"/>
        </w:rPr>
      </w:pPr>
      <w:r w:rsidRPr="0093698F">
        <w:rPr>
          <w:rFonts w:ascii="仿宋_GB2312" w:eastAsia="仿宋_GB2312" w:hAnsi="仿宋_GB2312" w:cs="仿宋_GB2312"/>
        </w:rPr>
        <w:t>三是</w:t>
      </w:r>
      <w:r>
        <w:rPr>
          <w:rFonts w:ascii="仿宋_GB2312" w:eastAsia="仿宋_GB2312" w:hAnsi="仿宋_GB2312" w:cs="仿宋_GB2312"/>
        </w:rPr>
        <w:t>主动靠前服务，加速项目落地落实。</w:t>
      </w:r>
      <w:r>
        <w:rPr>
          <w:rFonts w:ascii="仿宋_GB2312" w:eastAsia="仿宋_GB2312" w:hAnsi="仿宋_GB2312" w:cs="仿宋_GB2312"/>
        </w:rPr>
        <w:t>优化服务，落实</w:t>
      </w:r>
      <w:r>
        <w:rPr>
          <w:rFonts w:ascii="仿宋_GB2312" w:eastAsia="仿宋_GB2312" w:hAnsi="仿宋_GB2312" w:cs="仿宋_GB2312"/>
        </w:rPr>
        <w:t>“</w:t>
      </w:r>
      <w:r>
        <w:rPr>
          <w:rFonts w:ascii="仿宋_GB2312" w:eastAsia="仿宋_GB2312" w:hAnsi="仿宋_GB2312" w:cs="仿宋_GB2312"/>
        </w:rPr>
        <w:t>护商专员</w:t>
      </w:r>
      <w:r>
        <w:rPr>
          <w:rFonts w:ascii="仿宋_GB2312" w:eastAsia="仿宋_GB2312" w:hAnsi="仿宋_GB2312" w:cs="仿宋_GB2312"/>
        </w:rPr>
        <w:t>”</w:t>
      </w:r>
      <w:r>
        <w:rPr>
          <w:rFonts w:ascii="仿宋_GB2312" w:eastAsia="仿宋_GB2312" w:hAnsi="仿宋_GB2312" w:cs="仿宋_GB2312"/>
        </w:rPr>
        <w:t>制度，协助</w:t>
      </w:r>
      <w:r>
        <w:rPr>
          <w:rFonts w:ascii="仿宋_GB2312" w:eastAsia="仿宋_GB2312" w:hAnsi="仿宋_GB2312" w:cs="仿宋_GB2312"/>
        </w:rPr>
        <w:t>21</w:t>
      </w:r>
      <w:r>
        <w:rPr>
          <w:rFonts w:ascii="仿宋_GB2312" w:eastAsia="仿宋_GB2312" w:hAnsi="仿宋_GB2312" w:cs="仿宋_GB2312"/>
        </w:rPr>
        <w:t>家企业办理注册、立项手续，疫情期间安排专人跟进对接高科技婴幼儿食品加工项目，帮办代办注册、招工等前期手续，</w:t>
      </w:r>
      <w:r>
        <w:rPr>
          <w:rFonts w:ascii="仿宋_GB2312" w:eastAsia="仿宋_GB2312" w:hAnsi="仿宋_GB2312" w:cs="仿宋_GB2312"/>
        </w:rPr>
        <w:t>“</w:t>
      </w:r>
      <w:r>
        <w:rPr>
          <w:rFonts w:ascii="仿宋_GB2312" w:eastAsia="仿宋_GB2312" w:hAnsi="仿宋_GB2312" w:cs="仿宋_GB2312"/>
        </w:rPr>
        <w:t>米小芽</w:t>
      </w:r>
      <w:r>
        <w:rPr>
          <w:rFonts w:ascii="仿宋_GB2312" w:eastAsia="仿宋_GB2312" w:hAnsi="仿宋_GB2312" w:cs="仿宋_GB2312"/>
        </w:rPr>
        <w:t>”</w:t>
      </w:r>
      <w:proofErr w:type="gramStart"/>
      <w:r>
        <w:rPr>
          <w:rFonts w:ascii="仿宋_GB2312" w:eastAsia="仿宋_GB2312" w:hAnsi="仿宋_GB2312" w:cs="仿宋_GB2312"/>
        </w:rPr>
        <w:t>品牌仅</w:t>
      </w:r>
      <w:proofErr w:type="gramEnd"/>
      <w:r>
        <w:rPr>
          <w:rFonts w:ascii="仿宋_GB2312" w:eastAsia="仿宋_GB2312" w:hAnsi="仿宋_GB2312" w:cs="仿宋_GB2312"/>
        </w:rPr>
        <w:t>来高实地考察</w:t>
      </w:r>
      <w:r>
        <w:rPr>
          <w:rFonts w:ascii="仿宋_GB2312" w:eastAsia="仿宋_GB2312" w:hAnsi="仿宋_GB2312" w:cs="仿宋_GB2312"/>
        </w:rPr>
        <w:t>1</w:t>
      </w:r>
      <w:r>
        <w:rPr>
          <w:rFonts w:ascii="仿宋_GB2312" w:eastAsia="仿宋_GB2312" w:hAnsi="仿宋_GB2312" w:cs="仿宋_GB2312"/>
        </w:rPr>
        <w:t>次即实现签约，目前该项目已开工建设。</w:t>
      </w:r>
      <w:proofErr w:type="gramStart"/>
      <w:r>
        <w:rPr>
          <w:rFonts w:ascii="仿宋_GB2312" w:eastAsia="仿宋_GB2312" w:hAnsi="仿宋_GB2312" w:cs="仿宋_GB2312"/>
        </w:rPr>
        <w:t>锚</w:t>
      </w:r>
      <w:proofErr w:type="gramEnd"/>
      <w:r>
        <w:rPr>
          <w:rFonts w:ascii="仿宋_GB2312" w:eastAsia="仿宋_GB2312" w:hAnsi="仿宋_GB2312" w:cs="仿宋_GB2312"/>
        </w:rPr>
        <w:t>定在谈项目加快签约、已签约项目加快开工、开工项目加快建设进度和资金到位，分类推进</w:t>
      </w:r>
      <w:r>
        <w:rPr>
          <w:rFonts w:ascii="仿宋_GB2312" w:eastAsia="仿宋_GB2312" w:hAnsi="仿宋_GB2312" w:cs="仿宋_GB2312"/>
        </w:rPr>
        <w:t>22</w:t>
      </w:r>
      <w:r>
        <w:rPr>
          <w:rFonts w:ascii="仿宋_GB2312" w:eastAsia="仿宋_GB2312" w:hAnsi="仿宋_GB2312" w:cs="仿宋_GB2312"/>
        </w:rPr>
        <w:t>个重点项目进展情况，实行重点招商引资</w:t>
      </w:r>
      <w:proofErr w:type="gramStart"/>
      <w:r>
        <w:rPr>
          <w:rFonts w:ascii="仿宋_GB2312" w:eastAsia="仿宋_GB2312" w:hAnsi="仿宋_GB2312" w:cs="仿宋_GB2312"/>
        </w:rPr>
        <w:t>项目周</w:t>
      </w:r>
      <w:proofErr w:type="gramEnd"/>
      <w:r>
        <w:rPr>
          <w:rFonts w:ascii="仿宋_GB2312" w:eastAsia="仿宋_GB2312" w:hAnsi="仿宋_GB2312" w:cs="仿宋_GB2312"/>
        </w:rPr>
        <w:t>报告、全县招商引资项目</w:t>
      </w:r>
      <w:proofErr w:type="gramStart"/>
      <w:r>
        <w:rPr>
          <w:rFonts w:ascii="仿宋_GB2312" w:eastAsia="仿宋_GB2312" w:hAnsi="仿宋_GB2312" w:cs="仿宋_GB2312"/>
        </w:rPr>
        <w:t>情况月</w:t>
      </w:r>
      <w:proofErr w:type="gramEnd"/>
      <w:r>
        <w:rPr>
          <w:rFonts w:ascii="仿宋_GB2312" w:eastAsia="仿宋_GB2312" w:hAnsi="仿宋_GB2312" w:cs="仿宋_GB2312"/>
        </w:rPr>
        <w:t>通报制度。</w:t>
      </w:r>
    </w:p>
    <w:p w:rsidR="007039BC" w:rsidRDefault="00E963B0">
      <w:pPr>
        <w:spacing w:line="580" w:lineRule="exact"/>
        <w:ind w:firstLineChars="200" w:firstLine="640"/>
        <w:rPr>
          <w:rFonts w:ascii="楷体_GB2312" w:eastAsia="楷体_GB2312" w:hAnsi="楷体_GB2312" w:cs="楷体_GB2312"/>
        </w:rPr>
      </w:pPr>
      <w:r>
        <w:rPr>
          <w:rFonts w:ascii="楷体_GB2312" w:eastAsia="楷体_GB2312" w:hAnsi="楷体_GB2312" w:cs="楷体_GB2312"/>
        </w:rPr>
        <w:t>（三）人大代表建议和政协委员提案办理结果公开情况</w:t>
      </w:r>
    </w:p>
    <w:p w:rsidR="007039BC" w:rsidRDefault="00E963B0">
      <w:pPr>
        <w:spacing w:line="580" w:lineRule="exact"/>
        <w:ind w:firstLineChars="200" w:firstLine="640"/>
        <w:rPr>
          <w:rFonts w:ascii="仿宋_GB2312" w:eastAsia="仿宋_GB2312" w:hAnsi="仿宋_GB2312" w:cs="仿宋_GB2312"/>
        </w:rPr>
      </w:pPr>
      <w:r>
        <w:rPr>
          <w:rFonts w:ascii="仿宋_GB2312" w:eastAsia="仿宋_GB2312" w:hAnsi="仿宋_GB2312" w:cs="仿宋_GB2312"/>
        </w:rPr>
        <w:t>2022</w:t>
      </w:r>
      <w:r>
        <w:rPr>
          <w:rFonts w:ascii="仿宋_GB2312" w:eastAsia="仿宋_GB2312" w:hAnsi="仿宋_GB2312" w:cs="仿宋_GB2312"/>
        </w:rPr>
        <w:t>年，本机关共</w:t>
      </w:r>
      <w:proofErr w:type="gramStart"/>
      <w:r>
        <w:rPr>
          <w:rFonts w:ascii="仿宋_GB2312" w:eastAsia="仿宋_GB2312" w:hAnsi="仿宋_GB2312" w:cs="仿宋_GB2312"/>
        </w:rPr>
        <w:t>承办县</w:t>
      </w:r>
      <w:proofErr w:type="gramEnd"/>
      <w:r>
        <w:rPr>
          <w:rFonts w:ascii="仿宋_GB2312" w:eastAsia="仿宋_GB2312" w:hAnsi="仿宋_GB2312" w:cs="仿宋_GB2312"/>
        </w:rPr>
        <w:t>十八届人大一次会议建议</w:t>
      </w:r>
      <w:r>
        <w:rPr>
          <w:rFonts w:ascii="仿宋_GB2312" w:eastAsia="仿宋_GB2312" w:hAnsi="仿宋_GB2312" w:cs="仿宋_GB2312"/>
        </w:rPr>
        <w:t>1</w:t>
      </w:r>
      <w:r>
        <w:rPr>
          <w:rFonts w:ascii="仿宋_GB2312" w:eastAsia="仿宋_GB2312" w:hAnsi="仿宋_GB2312" w:cs="仿宋_GB2312"/>
        </w:rPr>
        <w:t>件，</w:t>
      </w:r>
      <w:proofErr w:type="gramStart"/>
      <w:r>
        <w:rPr>
          <w:rFonts w:ascii="仿宋_GB2312" w:eastAsia="仿宋_GB2312" w:hAnsi="仿宋_GB2312" w:cs="仿宋_GB2312"/>
        </w:rPr>
        <w:t>承办县</w:t>
      </w:r>
      <w:proofErr w:type="gramEnd"/>
      <w:r>
        <w:rPr>
          <w:rFonts w:ascii="仿宋_GB2312" w:eastAsia="仿宋_GB2312" w:hAnsi="仿宋_GB2312" w:cs="仿宋_GB2312"/>
        </w:rPr>
        <w:t>政协十五届一次会议提案</w:t>
      </w:r>
      <w:r>
        <w:rPr>
          <w:rFonts w:ascii="仿宋_GB2312" w:eastAsia="仿宋_GB2312" w:hAnsi="仿宋_GB2312" w:cs="仿宋_GB2312"/>
        </w:rPr>
        <w:t>0</w:t>
      </w:r>
      <w:r>
        <w:rPr>
          <w:rFonts w:ascii="仿宋_GB2312" w:eastAsia="仿宋_GB2312" w:hAnsi="仿宋_GB2312" w:cs="仿宋_GB2312"/>
        </w:rPr>
        <w:t>件，办复率均为</w:t>
      </w:r>
      <w:r>
        <w:rPr>
          <w:rFonts w:ascii="仿宋_GB2312" w:eastAsia="仿宋_GB2312" w:hAnsi="仿宋_GB2312" w:cs="仿宋_GB2312"/>
        </w:rPr>
        <w:t>100%</w:t>
      </w:r>
      <w:r>
        <w:rPr>
          <w:rFonts w:ascii="仿宋_GB2312" w:eastAsia="仿宋_GB2312" w:hAnsi="仿宋_GB2312" w:cs="仿宋_GB2312"/>
        </w:rPr>
        <w:t>。除涉及国家秘密、工作秘密的，所有建议提案办理复文或摘要以及办理总体情况均在县政府门户网站建议提案办理</w:t>
      </w:r>
      <w:proofErr w:type="gramStart"/>
      <w:r>
        <w:rPr>
          <w:rFonts w:ascii="仿宋_GB2312" w:eastAsia="仿宋_GB2312" w:hAnsi="仿宋_GB2312" w:cs="仿宋_GB2312"/>
        </w:rPr>
        <w:t>专题专题</w:t>
      </w:r>
      <w:proofErr w:type="gramEnd"/>
      <w:r>
        <w:rPr>
          <w:rFonts w:ascii="仿宋_GB2312" w:eastAsia="仿宋_GB2312" w:hAnsi="仿宋_GB2312" w:cs="仿宋_GB2312"/>
        </w:rPr>
        <w:t>中予以公开。</w:t>
      </w:r>
    </w:p>
    <w:p w:rsidR="007039BC" w:rsidRDefault="00E963B0">
      <w:pPr>
        <w:spacing w:line="580" w:lineRule="exact"/>
        <w:ind w:firstLineChars="200" w:firstLine="640"/>
        <w:rPr>
          <w:rFonts w:ascii="楷体_GB2312" w:eastAsia="楷体_GB2312" w:hAnsi="楷体_GB2312" w:cs="楷体_GB2312"/>
        </w:rPr>
      </w:pPr>
      <w:r>
        <w:rPr>
          <w:rFonts w:ascii="楷体_GB2312" w:eastAsia="楷体_GB2312" w:hAnsi="楷体_GB2312" w:cs="楷体_GB2312"/>
        </w:rPr>
        <w:t>（四）政务公开工作创新情况</w:t>
      </w:r>
    </w:p>
    <w:p w:rsidR="007039BC" w:rsidRDefault="00E963B0">
      <w:pPr>
        <w:spacing w:line="580" w:lineRule="exact"/>
        <w:ind w:firstLineChars="200" w:firstLine="640"/>
        <w:rPr>
          <w:rFonts w:ascii="仿宋_GB2312" w:eastAsia="仿宋_GB2312" w:hAnsi="仿宋_GB2312" w:cs="仿宋_GB2312"/>
        </w:rPr>
      </w:pPr>
      <w:r>
        <w:rPr>
          <w:rFonts w:ascii="仿宋_GB2312" w:eastAsia="仿宋_GB2312" w:hAnsi="仿宋_GB2312" w:cs="仿宋_GB2312"/>
        </w:rPr>
        <w:t>2022</w:t>
      </w:r>
      <w:r>
        <w:rPr>
          <w:rFonts w:ascii="仿宋_GB2312" w:eastAsia="仿宋_GB2312" w:hAnsi="仿宋_GB2312" w:cs="仿宋_GB2312"/>
        </w:rPr>
        <w:t>年，中心不断</w:t>
      </w:r>
      <w:r>
        <w:rPr>
          <w:rFonts w:ascii="仿宋_GB2312" w:eastAsia="仿宋_GB2312" w:hAnsi="仿宋_GB2312" w:cs="仿宋_GB2312"/>
        </w:rPr>
        <w:t>创新政府信息公开形式，依托政务公开平台等多渠道对外发布。深化</w:t>
      </w:r>
      <w:r>
        <w:rPr>
          <w:rFonts w:ascii="仿宋_GB2312" w:eastAsia="仿宋_GB2312" w:hAnsi="仿宋_GB2312" w:cs="仿宋_GB2312"/>
        </w:rPr>
        <w:t>“</w:t>
      </w:r>
      <w:r>
        <w:rPr>
          <w:rFonts w:ascii="仿宋_GB2312" w:eastAsia="仿宋_GB2312" w:hAnsi="仿宋_GB2312" w:cs="仿宋_GB2312"/>
        </w:rPr>
        <w:t>互联网</w:t>
      </w:r>
      <w:r>
        <w:rPr>
          <w:rFonts w:ascii="仿宋_GB2312" w:eastAsia="仿宋_GB2312" w:hAnsi="仿宋_GB2312" w:cs="仿宋_GB2312"/>
        </w:rPr>
        <w:t>+</w:t>
      </w:r>
      <w:r>
        <w:rPr>
          <w:rFonts w:ascii="仿宋_GB2312" w:eastAsia="仿宋_GB2312" w:hAnsi="仿宋_GB2312" w:cs="仿宋_GB2312"/>
        </w:rPr>
        <w:t>招商</w:t>
      </w:r>
      <w:r>
        <w:rPr>
          <w:rFonts w:ascii="仿宋_GB2312" w:eastAsia="仿宋_GB2312" w:hAnsi="仿宋_GB2312" w:cs="仿宋_GB2312"/>
        </w:rPr>
        <w:t>”</w:t>
      </w:r>
      <w:r>
        <w:rPr>
          <w:rFonts w:ascii="仿宋_GB2312" w:eastAsia="仿宋_GB2312" w:hAnsi="仿宋_GB2312" w:cs="仿宋_GB2312"/>
        </w:rPr>
        <w:t>模式，</w:t>
      </w:r>
      <w:r>
        <w:rPr>
          <w:rFonts w:ascii="仿宋_GB2312" w:eastAsia="仿宋_GB2312" w:hAnsi="仿宋_GB2312" w:cs="仿宋_GB2312"/>
        </w:rPr>
        <w:t>完善</w:t>
      </w:r>
      <w:r>
        <w:rPr>
          <w:rFonts w:ascii="仿宋_GB2312" w:eastAsia="仿宋_GB2312" w:hAnsi="仿宋_GB2312" w:cs="仿宋_GB2312"/>
        </w:rPr>
        <w:t>政府网站招商引资专栏，及时更新投资政策、招商项目等栏目信息，</w:t>
      </w:r>
      <w:r>
        <w:rPr>
          <w:rFonts w:ascii="仿宋_GB2312" w:eastAsia="仿宋_GB2312" w:hAnsi="仿宋_GB2312" w:cs="仿宋_GB2312"/>
        </w:rPr>
        <w:lastRenderedPageBreak/>
        <w:t>加深投资者印象，吸引有效群体。</w:t>
      </w:r>
      <w:r>
        <w:rPr>
          <w:rFonts w:ascii="仿宋_GB2312" w:eastAsia="仿宋_GB2312" w:hAnsi="仿宋_GB2312" w:cs="仿宋_GB2312"/>
        </w:rPr>
        <w:t>通过</w:t>
      </w:r>
      <w:r>
        <w:rPr>
          <w:rFonts w:ascii="仿宋_GB2312" w:eastAsia="仿宋_GB2312" w:hAnsi="仿宋_GB2312" w:cs="仿宋_GB2312"/>
        </w:rPr>
        <w:t>“</w:t>
      </w:r>
      <w:r>
        <w:rPr>
          <w:rFonts w:ascii="仿宋_GB2312" w:eastAsia="仿宋_GB2312" w:hAnsi="仿宋_GB2312" w:cs="仿宋_GB2312"/>
        </w:rPr>
        <w:t>投资高青</w:t>
      </w:r>
      <w:r>
        <w:rPr>
          <w:rFonts w:ascii="仿宋_GB2312" w:eastAsia="仿宋_GB2312" w:hAnsi="仿宋_GB2312" w:cs="仿宋_GB2312"/>
        </w:rPr>
        <w:t>”</w:t>
      </w:r>
      <w:proofErr w:type="gramStart"/>
      <w:r>
        <w:rPr>
          <w:rFonts w:ascii="仿宋_GB2312" w:eastAsia="仿宋_GB2312" w:hAnsi="仿宋_GB2312" w:cs="仿宋_GB2312"/>
        </w:rPr>
        <w:t>微信公众号</w:t>
      </w:r>
      <w:proofErr w:type="gramEnd"/>
      <w:r>
        <w:rPr>
          <w:rFonts w:ascii="仿宋_GB2312" w:eastAsia="仿宋_GB2312" w:hAnsi="仿宋_GB2312" w:cs="仿宋_GB2312"/>
        </w:rPr>
        <w:t>等媒介，进行信息推送，及时更新项目信息和招商动态，同时设立</w:t>
      </w:r>
      <w:r>
        <w:rPr>
          <w:rFonts w:ascii="仿宋_GB2312" w:eastAsia="仿宋_GB2312" w:hAnsi="仿宋_GB2312" w:cs="仿宋_GB2312"/>
        </w:rPr>
        <w:t>“</w:t>
      </w:r>
      <w:r>
        <w:rPr>
          <w:rFonts w:ascii="仿宋_GB2312" w:eastAsia="仿宋_GB2312" w:hAnsi="仿宋_GB2312" w:cs="仿宋_GB2312"/>
        </w:rPr>
        <w:t>产业招商大突破专项指挥部</w:t>
      </w:r>
      <w:r>
        <w:rPr>
          <w:rFonts w:ascii="仿宋_GB2312" w:eastAsia="仿宋_GB2312" w:hAnsi="仿宋_GB2312" w:cs="仿宋_GB2312"/>
        </w:rPr>
        <w:t>”</w:t>
      </w:r>
      <w:r>
        <w:rPr>
          <w:rFonts w:ascii="仿宋_GB2312" w:eastAsia="仿宋_GB2312" w:hAnsi="仿宋_GB2312" w:cs="仿宋_GB2312"/>
        </w:rPr>
        <w:t>栏目，及时更新招商动态，全方位</w:t>
      </w:r>
      <w:r>
        <w:rPr>
          <w:rFonts w:ascii="仿宋_GB2312" w:eastAsia="仿宋_GB2312" w:hAnsi="仿宋_GB2312" w:cs="仿宋_GB2312"/>
        </w:rPr>
        <w:t>向外界宣传</w:t>
      </w:r>
      <w:r>
        <w:rPr>
          <w:rFonts w:ascii="仿宋_GB2312" w:eastAsia="仿宋_GB2312" w:hAnsi="仿宋_GB2312" w:cs="仿宋_GB2312"/>
        </w:rPr>
        <w:t>高青</w:t>
      </w:r>
      <w:r>
        <w:rPr>
          <w:rFonts w:ascii="仿宋_GB2312" w:eastAsia="仿宋_GB2312" w:hAnsi="仿宋_GB2312" w:cs="仿宋_GB2312"/>
        </w:rPr>
        <w:t>招商引资亮点和成果，进一步扩大企业和群众的知晓率。</w:t>
      </w:r>
    </w:p>
    <w:p w:rsidR="007039BC" w:rsidRDefault="00E963B0">
      <w:pPr>
        <w:spacing w:line="580" w:lineRule="exact"/>
        <w:ind w:firstLineChars="200" w:firstLine="640"/>
        <w:rPr>
          <w:rFonts w:ascii="楷体_GB2312" w:eastAsia="楷体_GB2312" w:hAnsi="楷体_GB2312" w:cs="楷体_GB2312"/>
        </w:rPr>
      </w:pPr>
      <w:r>
        <w:rPr>
          <w:rFonts w:ascii="楷体_GB2312" w:eastAsia="楷体_GB2312" w:hAnsi="楷体_GB2312" w:cs="楷体_GB2312"/>
        </w:rPr>
        <w:t>（五）有关数据统计说明</w:t>
      </w:r>
    </w:p>
    <w:p w:rsidR="007039BC" w:rsidRDefault="00E963B0">
      <w:pPr>
        <w:spacing w:line="56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报告中所列数据可能因四舍五入原因与数据直接相加之和存在尾数差异。</w:t>
      </w:r>
    </w:p>
    <w:p w:rsidR="007039BC" w:rsidRDefault="00E963B0">
      <w:pPr>
        <w:spacing w:line="56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7039BC" w:rsidRDefault="00E963B0">
      <w:pPr>
        <w:spacing w:line="560" w:lineRule="exact"/>
        <w:ind w:firstLineChars="200" w:firstLine="640"/>
        <w:rPr>
          <w:rFonts w:ascii="仿宋_GB2312" w:eastAsia="仿宋_GB2312"/>
          <w:szCs w:val="32"/>
        </w:rPr>
      </w:pPr>
      <w:r>
        <w:rPr>
          <w:rFonts w:ascii="仿宋_GB2312" w:eastAsia="仿宋_GB2312" w:hint="eastAsia"/>
          <w:szCs w:val="32"/>
        </w:rPr>
        <w:t>3.</w:t>
      </w:r>
      <w:r>
        <w:rPr>
          <w:rFonts w:ascii="仿宋_GB2312" w:eastAsia="仿宋_GB2312" w:hint="eastAsia"/>
          <w:szCs w:val="32"/>
        </w:rPr>
        <w:t>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7039BC" w:rsidRDefault="007039BC">
      <w:pPr>
        <w:spacing w:line="580" w:lineRule="exact"/>
        <w:ind w:firstLineChars="200" w:firstLine="640"/>
        <w:rPr>
          <w:rFonts w:ascii="仿宋_GB2312" w:eastAsia="仿宋_GB2312" w:hAnsi="仿宋_GB2312" w:cs="仿宋_GB2312"/>
        </w:rPr>
      </w:pPr>
    </w:p>
    <w:p w:rsidR="007039BC" w:rsidRDefault="007039BC">
      <w:pPr>
        <w:spacing w:line="560" w:lineRule="exact"/>
        <w:ind w:firstLineChars="200" w:firstLine="600"/>
        <w:rPr>
          <w:rFonts w:eastAsia="仿宋_GB2312"/>
          <w:color w:val="FF0000"/>
          <w:sz w:val="30"/>
          <w:szCs w:val="30"/>
        </w:rPr>
      </w:pPr>
    </w:p>
    <w:p w:rsidR="007039BC" w:rsidRDefault="007039BC">
      <w:pPr>
        <w:spacing w:line="600" w:lineRule="exact"/>
        <w:ind w:firstLineChars="200" w:firstLine="640"/>
        <w:rPr>
          <w:rFonts w:eastAsia="仿宋_GB2312"/>
          <w:szCs w:val="32"/>
        </w:rPr>
      </w:pPr>
    </w:p>
    <w:sectPr w:rsidR="007039BC">
      <w:pgSz w:w="11906" w:h="16838"/>
      <w:pgMar w:top="1871" w:right="1587" w:bottom="187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B0" w:rsidRDefault="00E963B0">
      <w:pPr>
        <w:spacing w:line="240" w:lineRule="auto"/>
      </w:pPr>
      <w:r>
        <w:separator/>
      </w:r>
    </w:p>
  </w:endnote>
  <w:endnote w:type="continuationSeparator" w:id="0">
    <w:p w:rsidR="00E963B0" w:rsidRDefault="00E96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B0" w:rsidRDefault="00E963B0">
      <w:pPr>
        <w:spacing w:line="240" w:lineRule="auto"/>
      </w:pPr>
      <w:r>
        <w:separator/>
      </w:r>
    </w:p>
  </w:footnote>
  <w:footnote w:type="continuationSeparator" w:id="0">
    <w:p w:rsidR="00E963B0" w:rsidRDefault="00E963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5F3A"/>
    <w:multiLevelType w:val="singleLevel"/>
    <w:tmpl w:val="05B75F3A"/>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YTZkOTI5MjZkM2ZjZWVlZjdhMjI0NTY2MWM4OGMifQ=="/>
  </w:docVars>
  <w:rsids>
    <w:rsidRoot w:val="002E3543"/>
    <w:rsid w:val="BB7FFF35"/>
    <w:rsid w:val="BFCF1420"/>
    <w:rsid w:val="CFEF06C2"/>
    <w:rsid w:val="DCF73665"/>
    <w:rsid w:val="DFFFEFB2"/>
    <w:rsid w:val="F665E63B"/>
    <w:rsid w:val="F7A7BA53"/>
    <w:rsid w:val="FC7F7DE0"/>
    <w:rsid w:val="FD4D0692"/>
    <w:rsid w:val="FEAEA896"/>
    <w:rsid w:val="FECBDC41"/>
    <w:rsid w:val="FF23FE77"/>
    <w:rsid w:val="FFDD50BA"/>
    <w:rsid w:val="FFE1075F"/>
    <w:rsid w:val="FFFFF37A"/>
    <w:rsid w:val="00024945"/>
    <w:rsid w:val="000F585D"/>
    <w:rsid w:val="00117733"/>
    <w:rsid w:val="00121DCF"/>
    <w:rsid w:val="00137CFB"/>
    <w:rsid w:val="00160F8E"/>
    <w:rsid w:val="001B3C80"/>
    <w:rsid w:val="00211942"/>
    <w:rsid w:val="002438D7"/>
    <w:rsid w:val="00255BA4"/>
    <w:rsid w:val="002A2E26"/>
    <w:rsid w:val="002E3543"/>
    <w:rsid w:val="002F279D"/>
    <w:rsid w:val="003267DB"/>
    <w:rsid w:val="00353E35"/>
    <w:rsid w:val="00366621"/>
    <w:rsid w:val="003B0646"/>
    <w:rsid w:val="00413197"/>
    <w:rsid w:val="00415AB1"/>
    <w:rsid w:val="00467C3E"/>
    <w:rsid w:val="004B2553"/>
    <w:rsid w:val="004C13F5"/>
    <w:rsid w:val="00591E5D"/>
    <w:rsid w:val="00603E33"/>
    <w:rsid w:val="00673AC7"/>
    <w:rsid w:val="006E3AE0"/>
    <w:rsid w:val="006F1318"/>
    <w:rsid w:val="007039BC"/>
    <w:rsid w:val="00704FCD"/>
    <w:rsid w:val="00730C22"/>
    <w:rsid w:val="007720C3"/>
    <w:rsid w:val="007C69AE"/>
    <w:rsid w:val="00874F24"/>
    <w:rsid w:val="00881FF1"/>
    <w:rsid w:val="0089514D"/>
    <w:rsid w:val="008C4ED2"/>
    <w:rsid w:val="00911538"/>
    <w:rsid w:val="0093698F"/>
    <w:rsid w:val="009421FD"/>
    <w:rsid w:val="009A29D7"/>
    <w:rsid w:val="009B028C"/>
    <w:rsid w:val="009F731B"/>
    <w:rsid w:val="00A025BB"/>
    <w:rsid w:val="00A3107C"/>
    <w:rsid w:val="00AA1FA1"/>
    <w:rsid w:val="00AC26BC"/>
    <w:rsid w:val="00AC5E13"/>
    <w:rsid w:val="00AF4698"/>
    <w:rsid w:val="00B045BA"/>
    <w:rsid w:val="00B44418"/>
    <w:rsid w:val="00B828B6"/>
    <w:rsid w:val="00C1005A"/>
    <w:rsid w:val="00C25BC7"/>
    <w:rsid w:val="00C67940"/>
    <w:rsid w:val="00CA665A"/>
    <w:rsid w:val="00CC2BE7"/>
    <w:rsid w:val="00CD1D00"/>
    <w:rsid w:val="00D467A0"/>
    <w:rsid w:val="00D6577B"/>
    <w:rsid w:val="00D87AD7"/>
    <w:rsid w:val="00DB0D79"/>
    <w:rsid w:val="00DB4E99"/>
    <w:rsid w:val="00E8511E"/>
    <w:rsid w:val="00E963B0"/>
    <w:rsid w:val="00EA0721"/>
    <w:rsid w:val="00EF5607"/>
    <w:rsid w:val="00F83BDC"/>
    <w:rsid w:val="00FA216A"/>
    <w:rsid w:val="00FD5381"/>
    <w:rsid w:val="012A4E2C"/>
    <w:rsid w:val="013B3D53"/>
    <w:rsid w:val="023A24E3"/>
    <w:rsid w:val="04710E24"/>
    <w:rsid w:val="04952D5C"/>
    <w:rsid w:val="05C869C2"/>
    <w:rsid w:val="062A1CE3"/>
    <w:rsid w:val="079F4BE7"/>
    <w:rsid w:val="07E115E4"/>
    <w:rsid w:val="0B3E049C"/>
    <w:rsid w:val="0E6B3277"/>
    <w:rsid w:val="10A24AA4"/>
    <w:rsid w:val="11E34928"/>
    <w:rsid w:val="125443F2"/>
    <w:rsid w:val="12936439"/>
    <w:rsid w:val="13141499"/>
    <w:rsid w:val="16424188"/>
    <w:rsid w:val="16B46578"/>
    <w:rsid w:val="19393A07"/>
    <w:rsid w:val="1B7072DD"/>
    <w:rsid w:val="1C155249"/>
    <w:rsid w:val="1E210069"/>
    <w:rsid w:val="225615B4"/>
    <w:rsid w:val="22990301"/>
    <w:rsid w:val="23DE3459"/>
    <w:rsid w:val="240D2B84"/>
    <w:rsid w:val="2501714D"/>
    <w:rsid w:val="255B9751"/>
    <w:rsid w:val="25B6018D"/>
    <w:rsid w:val="270D0443"/>
    <w:rsid w:val="27841C9E"/>
    <w:rsid w:val="290A795F"/>
    <w:rsid w:val="2FFF0ECF"/>
    <w:rsid w:val="332B1D24"/>
    <w:rsid w:val="336B328F"/>
    <w:rsid w:val="34BC47B8"/>
    <w:rsid w:val="37965BC5"/>
    <w:rsid w:val="3A261A83"/>
    <w:rsid w:val="3BDA1A27"/>
    <w:rsid w:val="3BFFB5AB"/>
    <w:rsid w:val="3DE31EF5"/>
    <w:rsid w:val="3E5755E5"/>
    <w:rsid w:val="3E976956"/>
    <w:rsid w:val="3F2D83E0"/>
    <w:rsid w:val="3F6806EF"/>
    <w:rsid w:val="42764AD5"/>
    <w:rsid w:val="434A6768"/>
    <w:rsid w:val="44AF7FFE"/>
    <w:rsid w:val="47CE5465"/>
    <w:rsid w:val="48E73203"/>
    <w:rsid w:val="4957640F"/>
    <w:rsid w:val="49C167BA"/>
    <w:rsid w:val="4AB64F82"/>
    <w:rsid w:val="4BEECC1E"/>
    <w:rsid w:val="4C0B44E0"/>
    <w:rsid w:val="4EFB3644"/>
    <w:rsid w:val="4EFC2B42"/>
    <w:rsid w:val="4F862FC4"/>
    <w:rsid w:val="4FDE60F2"/>
    <w:rsid w:val="509D6FD5"/>
    <w:rsid w:val="5459613F"/>
    <w:rsid w:val="54D2203E"/>
    <w:rsid w:val="552370D7"/>
    <w:rsid w:val="565E654D"/>
    <w:rsid w:val="577D0958"/>
    <w:rsid w:val="57AE0564"/>
    <w:rsid w:val="57DE0173"/>
    <w:rsid w:val="58E11CEA"/>
    <w:rsid w:val="59C35A3C"/>
    <w:rsid w:val="5DD70A5D"/>
    <w:rsid w:val="5E6201E7"/>
    <w:rsid w:val="5F3F8643"/>
    <w:rsid w:val="5F591C4D"/>
    <w:rsid w:val="5FA877FC"/>
    <w:rsid w:val="5FE75302"/>
    <w:rsid w:val="61385CB1"/>
    <w:rsid w:val="63737629"/>
    <w:rsid w:val="670A38BA"/>
    <w:rsid w:val="677F27E7"/>
    <w:rsid w:val="69D76646"/>
    <w:rsid w:val="6B43383E"/>
    <w:rsid w:val="6BB51303"/>
    <w:rsid w:val="6DE53E47"/>
    <w:rsid w:val="6DFD4F55"/>
    <w:rsid w:val="6E5A6DF9"/>
    <w:rsid w:val="6F5FEB4B"/>
    <w:rsid w:val="6F881952"/>
    <w:rsid w:val="6F92228B"/>
    <w:rsid w:val="6FF6CF07"/>
    <w:rsid w:val="6FFF4D0F"/>
    <w:rsid w:val="71F92EA9"/>
    <w:rsid w:val="730F512A"/>
    <w:rsid w:val="73F5F19C"/>
    <w:rsid w:val="752A3D2F"/>
    <w:rsid w:val="771F0CBB"/>
    <w:rsid w:val="775BD8AE"/>
    <w:rsid w:val="79C200B9"/>
    <w:rsid w:val="7AA13AD2"/>
    <w:rsid w:val="7AF757AE"/>
    <w:rsid w:val="7AFB6E42"/>
    <w:rsid w:val="7CD51D9C"/>
    <w:rsid w:val="7E578B85"/>
    <w:rsid w:val="7E824B25"/>
    <w:rsid w:val="7EE65A2D"/>
    <w:rsid w:val="7EEF31BA"/>
    <w:rsid w:val="7FA04DF8"/>
    <w:rsid w:val="7FBE2DDB"/>
    <w:rsid w:val="7FDD95C1"/>
    <w:rsid w:val="7FEE9B51"/>
    <w:rsid w:val="7FF76E13"/>
    <w:rsid w:val="9DFAC589"/>
    <w:rsid w:val="A3BDD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paragraph" w:styleId="3">
    <w:name w:val="heading 3"/>
    <w:next w:val="a"/>
    <w:link w:val="3Char"/>
    <w:unhideWhenUsed/>
    <w:qFormat/>
    <w:pPr>
      <w:widowControl w:val="0"/>
      <w:adjustRightInd w:val="0"/>
      <w:snapToGrid w:val="0"/>
      <w:spacing w:line="560" w:lineRule="exact"/>
      <w:ind w:firstLineChars="200" w:firstLine="880"/>
      <w:jc w:val="center"/>
      <w:outlineLvl w:val="2"/>
    </w:pPr>
    <w:rPr>
      <w:rFonts w:eastAsia="楷体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szCs w:val="22"/>
    </w:r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qFormat/>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22"/>
    <w:qFormat/>
    <w:rPr>
      <w:b/>
      <w:bCs/>
    </w:rPr>
  </w:style>
  <w:style w:type="character" w:styleId="aa">
    <w:name w:val="FollowedHyperlink"/>
    <w:basedOn w:val="a1"/>
    <w:uiPriority w:val="99"/>
    <w:semiHidden/>
    <w:unhideWhenUsed/>
    <w:qFormat/>
    <w:rPr>
      <w:color w:val="555555"/>
      <w:u w:val="none"/>
    </w:rPr>
  </w:style>
  <w:style w:type="character" w:styleId="ab">
    <w:name w:val="Emphasis"/>
    <w:basedOn w:val="a1"/>
    <w:uiPriority w:val="20"/>
    <w:qFormat/>
    <w:rPr>
      <w:b/>
      <w:bCs/>
    </w:rPr>
  </w:style>
  <w:style w:type="character" w:styleId="HTML">
    <w:name w:val="HTML Definition"/>
    <w:basedOn w:val="a1"/>
    <w:uiPriority w:val="99"/>
    <w:semiHidden/>
    <w:unhideWhenUsed/>
    <w:qFormat/>
  </w:style>
  <w:style w:type="character" w:styleId="HTML0">
    <w:name w:val="HTML Variable"/>
    <w:basedOn w:val="a1"/>
    <w:uiPriority w:val="99"/>
    <w:semiHidden/>
    <w:unhideWhenUsed/>
    <w:qFormat/>
  </w:style>
  <w:style w:type="character" w:styleId="ac">
    <w:name w:val="Hyperlink"/>
    <w:basedOn w:val="a1"/>
    <w:uiPriority w:val="99"/>
    <w:semiHidden/>
    <w:unhideWhenUsed/>
    <w:qFormat/>
    <w:rPr>
      <w:color w:val="555555"/>
      <w:u w:val="none"/>
    </w:rPr>
  </w:style>
  <w:style w:type="character" w:styleId="HTML1">
    <w:name w:val="HTML Code"/>
    <w:basedOn w:val="a1"/>
    <w:uiPriority w:val="99"/>
    <w:semiHidden/>
    <w:unhideWhenUsed/>
    <w:qFormat/>
    <w:rPr>
      <w:rFonts w:ascii="Courier New" w:hAnsi="Courier New"/>
      <w:sz w:val="20"/>
    </w:rPr>
  </w:style>
  <w:style w:type="character" w:styleId="HTML2">
    <w:name w:val="HTML Cite"/>
    <w:basedOn w:val="a1"/>
    <w:uiPriority w:val="99"/>
    <w:semiHidden/>
    <w:unhideWhenUsed/>
    <w:qFormat/>
  </w:style>
  <w:style w:type="character" w:styleId="HTML3">
    <w:name w:val="HTML Keyboard"/>
    <w:basedOn w:val="a1"/>
    <w:uiPriority w:val="99"/>
    <w:semiHidden/>
    <w:unhideWhenUsed/>
    <w:qFormat/>
    <w:rPr>
      <w:rFonts w:ascii="Courier New" w:hAnsi="Courier New"/>
      <w:sz w:val="20"/>
    </w:rPr>
  </w:style>
  <w:style w:type="character" w:styleId="HTML4">
    <w:name w:val="HTML Sample"/>
    <w:basedOn w:val="a1"/>
    <w:uiPriority w:val="99"/>
    <w:semiHidden/>
    <w:unhideWhenUsed/>
    <w:qFormat/>
    <w:rPr>
      <w:rFonts w:ascii="Courier New" w:hAnsi="Courier New"/>
    </w:rPr>
  </w:style>
  <w:style w:type="character" w:customStyle="1" w:styleId="Char1">
    <w:name w:val="页眉 Char"/>
    <w:basedOn w:val="a1"/>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1"/>
    <w:link w:val="a5"/>
    <w:uiPriority w:val="99"/>
    <w:qFormat/>
    <w:rPr>
      <w:rFonts w:ascii="Times New Roman" w:eastAsia="方正仿宋_GBK" w:hAnsi="Times New Roman" w:cs="Times New Roman"/>
      <w:snapToGrid w:val="0"/>
      <w:kern w:val="0"/>
      <w:sz w:val="18"/>
      <w:szCs w:val="18"/>
    </w:rPr>
  </w:style>
  <w:style w:type="character" w:customStyle="1" w:styleId="hover9">
    <w:name w:val="hover9"/>
    <w:basedOn w:val="a1"/>
    <w:qFormat/>
    <w:rPr>
      <w:color w:val="245399"/>
    </w:rPr>
  </w:style>
  <w:style w:type="character" w:customStyle="1" w:styleId="hover10">
    <w:name w:val="hover10"/>
    <w:basedOn w:val="a1"/>
    <w:qFormat/>
    <w:rPr>
      <w:color w:val="FFFFFF"/>
    </w:rPr>
  </w:style>
  <w:style w:type="character" w:customStyle="1" w:styleId="hover11">
    <w:name w:val="hover11"/>
    <w:basedOn w:val="a1"/>
    <w:qFormat/>
    <w:rPr>
      <w:color w:val="245399"/>
    </w:rPr>
  </w:style>
  <w:style w:type="character" w:customStyle="1" w:styleId="hover">
    <w:name w:val="hover"/>
    <w:basedOn w:val="a1"/>
    <w:qFormat/>
    <w:rPr>
      <w:color w:val="FFFFFF"/>
    </w:rPr>
  </w:style>
  <w:style w:type="character" w:customStyle="1" w:styleId="hover1">
    <w:name w:val="hover1"/>
    <w:basedOn w:val="a1"/>
    <w:qFormat/>
    <w:rPr>
      <w:color w:val="245399"/>
    </w:rPr>
  </w:style>
  <w:style w:type="character" w:customStyle="1" w:styleId="hover2">
    <w:name w:val="hover2"/>
    <w:basedOn w:val="a1"/>
    <w:qFormat/>
    <w:rPr>
      <w:color w:val="245399"/>
    </w:rPr>
  </w:style>
  <w:style w:type="character" w:customStyle="1" w:styleId="Char">
    <w:name w:val="批注框文本 Char"/>
    <w:basedOn w:val="a1"/>
    <w:link w:val="a4"/>
    <w:uiPriority w:val="99"/>
    <w:semiHidden/>
    <w:qFormat/>
    <w:rPr>
      <w:rFonts w:eastAsia="方正仿宋_GBK"/>
      <w:snapToGrid w:val="0"/>
      <w:sz w:val="18"/>
      <w:szCs w:val="18"/>
    </w:rPr>
  </w:style>
  <w:style w:type="character" w:customStyle="1" w:styleId="3Char">
    <w:name w:val="标题 3 Char"/>
    <w:link w:val="3"/>
    <w:qFormat/>
    <w:rPr>
      <w:rFonts w:ascii="Times New Roman" w:eastAsia="楷体_GB2312" w:hAnsi="Times New Roman" w:cs="Times New Roman"/>
      <w:kern w:val="2"/>
      <w:sz w:val="32"/>
      <w:szCs w:val="3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paragraph" w:styleId="3">
    <w:name w:val="heading 3"/>
    <w:next w:val="a"/>
    <w:link w:val="3Char"/>
    <w:unhideWhenUsed/>
    <w:qFormat/>
    <w:pPr>
      <w:widowControl w:val="0"/>
      <w:adjustRightInd w:val="0"/>
      <w:snapToGrid w:val="0"/>
      <w:spacing w:line="560" w:lineRule="exact"/>
      <w:ind w:firstLineChars="200" w:firstLine="880"/>
      <w:jc w:val="center"/>
      <w:outlineLvl w:val="2"/>
    </w:pPr>
    <w:rPr>
      <w:rFonts w:eastAsia="楷体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200"/>
      <w:jc w:val="both"/>
    </w:pPr>
    <w:rPr>
      <w:rFonts w:ascii="宋体"/>
      <w:sz w:val="21"/>
      <w:szCs w:val="22"/>
    </w:r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qFormat/>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22"/>
    <w:qFormat/>
    <w:rPr>
      <w:b/>
      <w:bCs/>
    </w:rPr>
  </w:style>
  <w:style w:type="character" w:styleId="aa">
    <w:name w:val="FollowedHyperlink"/>
    <w:basedOn w:val="a1"/>
    <w:uiPriority w:val="99"/>
    <w:semiHidden/>
    <w:unhideWhenUsed/>
    <w:qFormat/>
    <w:rPr>
      <w:color w:val="555555"/>
      <w:u w:val="none"/>
    </w:rPr>
  </w:style>
  <w:style w:type="character" w:styleId="ab">
    <w:name w:val="Emphasis"/>
    <w:basedOn w:val="a1"/>
    <w:uiPriority w:val="20"/>
    <w:qFormat/>
    <w:rPr>
      <w:b/>
      <w:bCs/>
    </w:rPr>
  </w:style>
  <w:style w:type="character" w:styleId="HTML">
    <w:name w:val="HTML Definition"/>
    <w:basedOn w:val="a1"/>
    <w:uiPriority w:val="99"/>
    <w:semiHidden/>
    <w:unhideWhenUsed/>
    <w:qFormat/>
  </w:style>
  <w:style w:type="character" w:styleId="HTML0">
    <w:name w:val="HTML Variable"/>
    <w:basedOn w:val="a1"/>
    <w:uiPriority w:val="99"/>
    <w:semiHidden/>
    <w:unhideWhenUsed/>
    <w:qFormat/>
  </w:style>
  <w:style w:type="character" w:styleId="ac">
    <w:name w:val="Hyperlink"/>
    <w:basedOn w:val="a1"/>
    <w:uiPriority w:val="99"/>
    <w:semiHidden/>
    <w:unhideWhenUsed/>
    <w:qFormat/>
    <w:rPr>
      <w:color w:val="555555"/>
      <w:u w:val="none"/>
    </w:rPr>
  </w:style>
  <w:style w:type="character" w:styleId="HTML1">
    <w:name w:val="HTML Code"/>
    <w:basedOn w:val="a1"/>
    <w:uiPriority w:val="99"/>
    <w:semiHidden/>
    <w:unhideWhenUsed/>
    <w:qFormat/>
    <w:rPr>
      <w:rFonts w:ascii="Courier New" w:hAnsi="Courier New"/>
      <w:sz w:val="20"/>
    </w:rPr>
  </w:style>
  <w:style w:type="character" w:styleId="HTML2">
    <w:name w:val="HTML Cite"/>
    <w:basedOn w:val="a1"/>
    <w:uiPriority w:val="99"/>
    <w:semiHidden/>
    <w:unhideWhenUsed/>
    <w:qFormat/>
  </w:style>
  <w:style w:type="character" w:styleId="HTML3">
    <w:name w:val="HTML Keyboard"/>
    <w:basedOn w:val="a1"/>
    <w:uiPriority w:val="99"/>
    <w:semiHidden/>
    <w:unhideWhenUsed/>
    <w:qFormat/>
    <w:rPr>
      <w:rFonts w:ascii="Courier New" w:hAnsi="Courier New"/>
      <w:sz w:val="20"/>
    </w:rPr>
  </w:style>
  <w:style w:type="character" w:styleId="HTML4">
    <w:name w:val="HTML Sample"/>
    <w:basedOn w:val="a1"/>
    <w:uiPriority w:val="99"/>
    <w:semiHidden/>
    <w:unhideWhenUsed/>
    <w:qFormat/>
    <w:rPr>
      <w:rFonts w:ascii="Courier New" w:hAnsi="Courier New"/>
    </w:rPr>
  </w:style>
  <w:style w:type="character" w:customStyle="1" w:styleId="Char1">
    <w:name w:val="页眉 Char"/>
    <w:basedOn w:val="a1"/>
    <w:link w:val="a6"/>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1"/>
    <w:link w:val="a5"/>
    <w:uiPriority w:val="99"/>
    <w:qFormat/>
    <w:rPr>
      <w:rFonts w:ascii="Times New Roman" w:eastAsia="方正仿宋_GBK" w:hAnsi="Times New Roman" w:cs="Times New Roman"/>
      <w:snapToGrid w:val="0"/>
      <w:kern w:val="0"/>
      <w:sz w:val="18"/>
      <w:szCs w:val="18"/>
    </w:rPr>
  </w:style>
  <w:style w:type="character" w:customStyle="1" w:styleId="hover9">
    <w:name w:val="hover9"/>
    <w:basedOn w:val="a1"/>
    <w:qFormat/>
    <w:rPr>
      <w:color w:val="245399"/>
    </w:rPr>
  </w:style>
  <w:style w:type="character" w:customStyle="1" w:styleId="hover10">
    <w:name w:val="hover10"/>
    <w:basedOn w:val="a1"/>
    <w:qFormat/>
    <w:rPr>
      <w:color w:val="FFFFFF"/>
    </w:rPr>
  </w:style>
  <w:style w:type="character" w:customStyle="1" w:styleId="hover11">
    <w:name w:val="hover11"/>
    <w:basedOn w:val="a1"/>
    <w:qFormat/>
    <w:rPr>
      <w:color w:val="245399"/>
    </w:rPr>
  </w:style>
  <w:style w:type="character" w:customStyle="1" w:styleId="hover">
    <w:name w:val="hover"/>
    <w:basedOn w:val="a1"/>
    <w:qFormat/>
    <w:rPr>
      <w:color w:val="FFFFFF"/>
    </w:rPr>
  </w:style>
  <w:style w:type="character" w:customStyle="1" w:styleId="hover1">
    <w:name w:val="hover1"/>
    <w:basedOn w:val="a1"/>
    <w:qFormat/>
    <w:rPr>
      <w:color w:val="245399"/>
    </w:rPr>
  </w:style>
  <w:style w:type="character" w:customStyle="1" w:styleId="hover2">
    <w:name w:val="hover2"/>
    <w:basedOn w:val="a1"/>
    <w:qFormat/>
    <w:rPr>
      <w:color w:val="245399"/>
    </w:rPr>
  </w:style>
  <w:style w:type="character" w:customStyle="1" w:styleId="Char">
    <w:name w:val="批注框文本 Char"/>
    <w:basedOn w:val="a1"/>
    <w:link w:val="a4"/>
    <w:uiPriority w:val="99"/>
    <w:semiHidden/>
    <w:qFormat/>
    <w:rPr>
      <w:rFonts w:eastAsia="方正仿宋_GBK"/>
      <w:snapToGrid w:val="0"/>
      <w:sz w:val="18"/>
      <w:szCs w:val="18"/>
    </w:rPr>
  </w:style>
  <w:style w:type="character" w:customStyle="1" w:styleId="3Char">
    <w:name w:val="标题 3 Char"/>
    <w:link w:val="3"/>
    <w:qFormat/>
    <w:rPr>
      <w:rFonts w:ascii="Times New Roman" w:eastAsia="楷体_GB2312" w:hAnsi="Times New Roman" w:cs="Times New Roman"/>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652</Words>
  <Characters>3718</Characters>
  <Application>Microsoft Office Word</Application>
  <DocSecurity>0</DocSecurity>
  <Lines>30</Lines>
  <Paragraphs>8</Paragraphs>
  <ScaleCrop>false</ScaleCrop>
  <Company>gq</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46</cp:revision>
  <cp:lastPrinted>2023-01-12T06:42:00Z</cp:lastPrinted>
  <dcterms:created xsi:type="dcterms:W3CDTF">2022-01-02T09:04:00Z</dcterms:created>
  <dcterms:modified xsi:type="dcterms:W3CDTF">2023-01-17T06:25:00Z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51578127149347CF9CEA34FA1E6CD554</vt:lpwstr>
  </property>
</Properties>
</file>