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  <w:t>高青县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lang w:eastAsia="zh-CN"/>
        </w:rPr>
        <w:t>投资促进中心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  <w:t>20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lang w:val="en-US" w:eastAsia="zh-CN"/>
        </w:rPr>
        <w:t>19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  <w:t>年政府信息公开工作年度报告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本报告根据《中华人民共和国政府信息公开条例》（国务院令第711号，以下简称《条例》）要求，由高青县投资促进中心根据本单位信息公开工作情况编制。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报告全文由总体情况、主动公开政府信息情况、收到和处理政府信息公开申请情况、政府信息公开行政复议行政诉讼情况、存在的主要问题及改进情况、其他需要报告的事项6个部分组成。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报告中所列数据统计期限自2019年1月1日始，至2019年12月31日止。报告电子版可在高青县人民政府门户网站（www.gaoqing.gov.cn）查阅和下载。如对报告内容有疑问，请与高青县投资促进中心办公室联系（地址：高青县城清河路9号；邮编：256300；电话：0533-6967699）。</w:t>
      </w:r>
    </w:p>
    <w:p>
      <w:pPr>
        <w:spacing w:line="560" w:lineRule="exact"/>
        <w:ind w:firstLine="640" w:firstLineChars="200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一、总体情况</w:t>
      </w:r>
    </w:p>
    <w:p>
      <w:pPr>
        <w:spacing w:line="560" w:lineRule="exact"/>
        <w:ind w:firstLine="640" w:firstLineChars="200"/>
        <w:rPr>
          <w:rFonts w:hint="eastAsia" w:ascii="楷体_GB2312" w:hAnsi="黑体" w:eastAsia="楷体_GB2312"/>
          <w:sz w:val="32"/>
          <w:szCs w:val="32"/>
        </w:rPr>
      </w:pPr>
      <w:r>
        <w:rPr>
          <w:rFonts w:hint="eastAsia" w:ascii="楷体_GB2312" w:hAnsi="黑体" w:eastAsia="楷体_GB2312"/>
          <w:sz w:val="32"/>
          <w:szCs w:val="32"/>
        </w:rPr>
        <w:t>（一）体制机制建设</w:t>
      </w:r>
    </w:p>
    <w:p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</w:rPr>
        <w:t>2019年，县投资促进中心深入贯彻新修订的《中华人民共和国政府信息公开条例》，持续</w:t>
      </w: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  <w:lang w:eastAsia="zh-CN"/>
        </w:rPr>
        <w:t>开展</w:t>
      </w: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</w:rPr>
        <w:t>信息发布、解读回应、政民互动</w:t>
      </w: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  <w:lang w:eastAsia="zh-CN"/>
        </w:rPr>
        <w:t>等政务公开工作。</w:t>
      </w:r>
    </w:p>
    <w:p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</w:rPr>
        <w:t>一是强化部署推动。我中心高度重视信息公开工作，</w:t>
      </w: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  <w:lang w:eastAsia="zh-CN"/>
        </w:rPr>
        <w:t>及时召开政务信息工作专题会议，安排部署全年工作计划。</w:t>
      </w: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</w:rPr>
        <w:t>根据中心领导的分工调整，明确分管领导，指定一名工作人员专门负责信息的整理发布。及时听取、收集群众的意见，对群众提出的合理建议积极采纳，对群众反映的问题，及时研究解决或做出说明解释工作。</w:t>
      </w:r>
    </w:p>
    <w:p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  <w:lang w:eastAsia="zh-CN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85725</wp:posOffset>
            </wp:positionH>
            <wp:positionV relativeFrom="paragraph">
              <wp:posOffset>185420</wp:posOffset>
            </wp:positionV>
            <wp:extent cx="5685790" cy="3194050"/>
            <wp:effectExtent l="0" t="0" r="10160" b="6350"/>
            <wp:wrapNone/>
            <wp:docPr id="1" name="图片 1" descr="0a9904d29def147ca053be96d2283d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0a9904d29def147ca053be96d2283da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685790" cy="31940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  <w:lang w:eastAsia="zh-CN"/>
        </w:rPr>
      </w:pPr>
    </w:p>
    <w:p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  <w:lang w:eastAsia="zh-CN"/>
        </w:rPr>
      </w:pPr>
    </w:p>
    <w:p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  <w:lang w:eastAsia="zh-CN"/>
        </w:rPr>
      </w:pPr>
    </w:p>
    <w:p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  <w:lang w:eastAsia="zh-CN"/>
        </w:rPr>
      </w:pPr>
    </w:p>
    <w:p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  <w:lang w:eastAsia="zh-CN"/>
        </w:rPr>
      </w:pPr>
    </w:p>
    <w:p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  <w:lang w:eastAsia="zh-CN"/>
        </w:rPr>
      </w:pPr>
    </w:p>
    <w:p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  <w:lang w:eastAsia="zh-CN"/>
        </w:rPr>
      </w:pPr>
    </w:p>
    <w:p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  <w:lang w:eastAsia="zh-CN"/>
        </w:rPr>
      </w:pPr>
    </w:p>
    <w:p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  <w:lang w:eastAsia="zh-CN"/>
        </w:rPr>
      </w:pPr>
    </w:p>
    <w:p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  <w:lang w:eastAsia="zh-CN"/>
        </w:rPr>
        <w:t>二</w:t>
      </w: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</w:rPr>
        <w:t>是</w:t>
      </w: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  <w:lang w:eastAsia="zh-CN"/>
        </w:rPr>
        <w:t>推动贯彻落实。</w:t>
      </w: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</w:rPr>
        <w:t>认真</w:t>
      </w: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  <w:lang w:eastAsia="zh-CN"/>
        </w:rPr>
        <w:t>完成</w:t>
      </w: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</w:rPr>
        <w:t>《国务院办公厅关于印发2019年政务公开工作要点的通知》（国办发〔2019〕14号）、《山东省人民政府办公厅关于印发2019年山东省政务公开工作要点的通知》（鲁政办发〔2019〕15号）和《淄博市人民政府办公室关于印发2019年淄博市政务公开工作方案的通知》（淄政办发〔2019〕5号）部署的各项任务，着力推动行政权力全过程公开、公共服务全流程公开、社会关切全方位回应，切实提升政务公开质量，为全年经济社会发展创造更加开放透明的政务环境。</w:t>
      </w:r>
    </w:p>
    <w:p>
      <w:pPr>
        <w:spacing w:line="560" w:lineRule="exact"/>
        <w:ind w:firstLine="640" w:firstLineChars="200"/>
        <w:rPr>
          <w:rFonts w:ascii="楷体_GB2312" w:hAnsi="黑体" w:eastAsia="楷体_GB2312"/>
          <w:sz w:val="32"/>
          <w:szCs w:val="32"/>
        </w:rPr>
      </w:pPr>
      <w:r>
        <w:rPr>
          <w:rFonts w:hint="eastAsia" w:ascii="楷体_GB2312" w:hAnsi="黑体" w:eastAsia="楷体_GB2312"/>
          <w:sz w:val="32"/>
          <w:szCs w:val="32"/>
        </w:rPr>
        <w:t>（二）主动公开</w:t>
      </w:r>
    </w:p>
    <w:p>
      <w:pPr>
        <w:spacing w:line="560" w:lineRule="exact"/>
        <w:ind w:firstLine="640" w:firstLineChars="200"/>
        <w:rPr>
          <w:rFonts w:hint="eastAsia" w:ascii="仿宋_GB2312" w:eastAsia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lang w:val="en-US" w:eastAsia="zh-CN"/>
        </w:rPr>
        <w:t>2019年，高青县投资促进中心通过政府网站、微信公众号等方式，</w:t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</w:rPr>
        <w:t>主动公开</w:t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lang w:eastAsia="zh-CN"/>
        </w:rPr>
        <w:t>投资政策、财政信息、政府信息公开制度</w:t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</w:rPr>
        <w:t>等</w:t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lang w:eastAsia="zh-CN"/>
        </w:rPr>
        <w:t>政务信息</w:t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lang w:val="en-US" w:eastAsia="zh-CN"/>
        </w:rPr>
        <w:t>50余条</w:t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</w:rPr>
        <w:t>。</w:t>
      </w: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  <w:lang w:eastAsia="zh-CN"/>
        </w:rPr>
        <w:t>其中，20</w:t>
      </w: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  <w:lang w:val="en-US" w:eastAsia="zh-CN"/>
        </w:rPr>
        <w:t>19</w:t>
      </w: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  <w:lang w:eastAsia="zh-CN"/>
        </w:rPr>
        <w:t>年，我单位</w:t>
      </w:r>
      <w:r>
        <w:rPr>
          <w:rFonts w:hint="eastAsia" w:ascii="仿宋_GB2312" w:eastAsia="仿宋_GB2312"/>
          <w:sz w:val="32"/>
          <w:szCs w:val="32"/>
          <w:lang w:eastAsia="zh-CN"/>
        </w:rPr>
        <w:t>共</w:t>
      </w:r>
      <w:r>
        <w:rPr>
          <w:rFonts w:hint="eastAsia" w:ascii="仿宋_GB2312" w:eastAsia="仿宋_GB2312"/>
          <w:sz w:val="32"/>
          <w:szCs w:val="32"/>
        </w:rPr>
        <w:t>收到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1</w:t>
      </w:r>
      <w:r>
        <w:rPr>
          <w:rFonts w:hint="eastAsia" w:ascii="仿宋_GB2312" w:eastAsia="仿宋_GB2312"/>
          <w:sz w:val="32"/>
          <w:szCs w:val="32"/>
        </w:rPr>
        <w:t>件</w:t>
      </w:r>
      <w:r>
        <w:rPr>
          <w:rFonts w:hint="eastAsia" w:ascii="仿宋_GB2312" w:eastAsia="仿宋_GB2312"/>
          <w:sz w:val="32"/>
          <w:szCs w:val="32"/>
          <w:lang w:eastAsia="zh-CN"/>
        </w:rPr>
        <w:t>人大</w:t>
      </w:r>
      <w:r>
        <w:rPr>
          <w:rFonts w:hint="eastAsia" w:ascii="仿宋_GB2312" w:eastAsia="仿宋_GB2312"/>
          <w:sz w:val="32"/>
          <w:szCs w:val="32"/>
        </w:rPr>
        <w:t>代表</w:t>
      </w:r>
      <w:r>
        <w:rPr>
          <w:rFonts w:hint="eastAsia" w:ascii="仿宋_GB2312" w:eastAsia="仿宋_GB2312"/>
          <w:sz w:val="32"/>
          <w:szCs w:val="32"/>
          <w:lang w:eastAsia="zh-CN"/>
        </w:rPr>
        <w:t>建议提案</w:t>
      </w:r>
      <w:r>
        <w:rPr>
          <w:rFonts w:hint="eastAsia" w:ascii="仿宋_GB2312" w:eastAsia="仿宋_GB2312"/>
          <w:sz w:val="32"/>
          <w:szCs w:val="32"/>
        </w:rPr>
        <w:t>，</w:t>
      </w:r>
      <w:r>
        <w:rPr>
          <w:rFonts w:hint="eastAsia" w:ascii="仿宋_GB2312" w:eastAsia="仿宋_GB2312"/>
          <w:sz w:val="32"/>
          <w:szCs w:val="32"/>
          <w:lang w:eastAsia="zh-CN"/>
        </w:rPr>
        <w:t>完成</w:t>
      </w:r>
      <w:r>
        <w:rPr>
          <w:rFonts w:hint="eastAsia" w:ascii="仿宋_GB2312" w:eastAsia="仿宋_GB2312"/>
          <w:sz w:val="32"/>
          <w:szCs w:val="32"/>
        </w:rPr>
        <w:t>答复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1</w:t>
      </w:r>
      <w:r>
        <w:rPr>
          <w:rFonts w:hint="eastAsia" w:ascii="仿宋_GB2312" w:eastAsia="仿宋_GB2312"/>
          <w:sz w:val="32"/>
          <w:szCs w:val="32"/>
        </w:rPr>
        <w:t>件</w:t>
      </w:r>
      <w:r>
        <w:rPr>
          <w:rFonts w:hint="eastAsia" w:ascii="仿宋_GB2312" w:eastAsia="仿宋_GB2312"/>
          <w:sz w:val="32"/>
          <w:szCs w:val="32"/>
          <w:lang w:eastAsia="zh-CN"/>
        </w:rPr>
        <w:t>，满意率100%。</w:t>
      </w:r>
    </w:p>
    <w:p>
      <w:pPr>
        <w:spacing w:line="560" w:lineRule="exact"/>
        <w:ind w:firstLine="640" w:firstLineChars="200"/>
        <w:rPr>
          <w:rFonts w:ascii="楷体_GB2312" w:hAnsi="黑体" w:eastAsia="楷体_GB2312"/>
          <w:sz w:val="32"/>
          <w:szCs w:val="32"/>
        </w:rPr>
      </w:pPr>
      <w:r>
        <w:rPr>
          <w:rFonts w:hint="eastAsia" w:ascii="楷体_GB2312" w:hAnsi="黑体" w:eastAsia="楷体_GB2312"/>
          <w:sz w:val="32"/>
          <w:szCs w:val="32"/>
        </w:rPr>
        <w:t>（三）依申请公开</w:t>
      </w:r>
    </w:p>
    <w:p>
      <w:pPr>
        <w:spacing w:line="56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1.收到和处理政府信息公开申请情况</w:t>
      </w:r>
    </w:p>
    <w:p>
      <w:pPr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2020年，我单位共收到政府信息公开申请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0</w:t>
      </w:r>
      <w:r>
        <w:rPr>
          <w:rFonts w:hint="eastAsia" w:ascii="仿宋_GB2312" w:eastAsia="仿宋_GB2312"/>
          <w:sz w:val="32"/>
          <w:szCs w:val="32"/>
        </w:rPr>
        <w:t>件，按时办结数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0</w:t>
      </w:r>
      <w:r>
        <w:rPr>
          <w:rFonts w:hint="eastAsia" w:ascii="仿宋_GB2312" w:eastAsia="仿宋_GB2312"/>
          <w:sz w:val="32"/>
          <w:szCs w:val="32"/>
        </w:rPr>
        <w:t>件。在办结的申请中：</w:t>
      </w:r>
      <w:r>
        <w:rPr>
          <w:rFonts w:ascii="仿宋_GB2312" w:eastAsia="仿宋_GB2312"/>
          <w:sz w:val="32"/>
          <w:szCs w:val="32"/>
        </w:rPr>
        <w:t>予以公开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0</w:t>
      </w:r>
      <w:r>
        <w:rPr>
          <w:rFonts w:ascii="仿宋_GB2312" w:eastAsia="仿宋_GB2312"/>
          <w:sz w:val="32"/>
          <w:szCs w:val="32"/>
        </w:rPr>
        <w:t>件，部分公开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0</w:t>
      </w:r>
      <w:r>
        <w:rPr>
          <w:rFonts w:ascii="仿宋_GB2312" w:eastAsia="仿宋_GB2312"/>
          <w:sz w:val="32"/>
          <w:szCs w:val="32"/>
        </w:rPr>
        <w:t>件，不予公开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0</w:t>
      </w:r>
      <w:r>
        <w:rPr>
          <w:rFonts w:ascii="仿宋_GB2312" w:eastAsia="仿宋_GB2312"/>
          <w:sz w:val="32"/>
          <w:szCs w:val="32"/>
        </w:rPr>
        <w:t>件，无法提供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0</w:t>
      </w:r>
      <w:r>
        <w:rPr>
          <w:rFonts w:ascii="仿宋_GB2312" w:eastAsia="仿宋_GB2312"/>
          <w:sz w:val="32"/>
          <w:szCs w:val="32"/>
        </w:rPr>
        <w:t>件，不予处理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0</w:t>
      </w:r>
      <w:r>
        <w:rPr>
          <w:rFonts w:ascii="仿宋_GB2312" w:eastAsia="仿宋_GB2312"/>
          <w:sz w:val="32"/>
          <w:szCs w:val="32"/>
        </w:rPr>
        <w:t>件，其他处理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0</w:t>
      </w:r>
      <w:r>
        <w:rPr>
          <w:rFonts w:ascii="仿宋_GB2312" w:eastAsia="仿宋_GB2312"/>
          <w:sz w:val="32"/>
          <w:szCs w:val="32"/>
        </w:rPr>
        <w:t>件</w:t>
      </w:r>
      <w:r>
        <w:rPr>
          <w:rFonts w:hint="eastAsia" w:ascii="仿宋_GB2312" w:eastAsia="仿宋_GB2312"/>
          <w:sz w:val="32"/>
          <w:szCs w:val="32"/>
        </w:rPr>
        <w:t>。</w:t>
      </w:r>
    </w:p>
    <w:p>
      <w:pPr>
        <w:spacing w:line="56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2.收费和减免情况</w:t>
      </w:r>
    </w:p>
    <w:p>
      <w:pPr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2020年，我单位在政府信息公开申请办理过程中，未收取任何费用。</w:t>
      </w:r>
    </w:p>
    <w:p>
      <w:pPr>
        <w:spacing w:line="56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3.政府信息公开行政复议、行政诉讼情况</w:t>
      </w:r>
    </w:p>
    <w:p>
      <w:pPr>
        <w:spacing w:line="560" w:lineRule="exact"/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2020年，本单位因政府信息公开被申请行政复议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0</w:t>
      </w:r>
      <w:r>
        <w:rPr>
          <w:rFonts w:hint="eastAsia" w:ascii="仿宋_GB2312" w:eastAsia="仿宋_GB2312"/>
          <w:sz w:val="32"/>
          <w:szCs w:val="32"/>
        </w:rPr>
        <w:t>件。其中，未经复议直接起诉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0</w:t>
      </w:r>
      <w:r>
        <w:rPr>
          <w:rFonts w:hint="eastAsia" w:ascii="仿宋_GB2312" w:eastAsia="仿宋_GB2312"/>
          <w:sz w:val="32"/>
          <w:szCs w:val="32"/>
        </w:rPr>
        <w:t>件，复议后起诉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0</w:t>
      </w:r>
      <w:r>
        <w:rPr>
          <w:rFonts w:hint="eastAsia" w:ascii="仿宋_GB2312" w:eastAsia="仿宋_GB2312"/>
          <w:sz w:val="32"/>
          <w:szCs w:val="32"/>
        </w:rPr>
        <w:t>件。在行政诉讼案件中，结果维持数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0</w:t>
      </w:r>
      <w:r>
        <w:rPr>
          <w:rFonts w:hint="eastAsia" w:ascii="仿宋_GB2312" w:eastAsia="仿宋_GB2312"/>
          <w:sz w:val="32"/>
          <w:szCs w:val="32"/>
        </w:rPr>
        <w:t>件，结果纠正数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0</w:t>
      </w:r>
      <w:r>
        <w:rPr>
          <w:rFonts w:hint="eastAsia" w:ascii="仿宋_GB2312" w:eastAsia="仿宋_GB2312"/>
          <w:sz w:val="32"/>
          <w:szCs w:val="32"/>
        </w:rPr>
        <w:t>件，尚未审结数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0</w:t>
      </w:r>
      <w:r>
        <w:rPr>
          <w:rFonts w:hint="eastAsia" w:ascii="仿宋_GB2312" w:eastAsia="仿宋_GB2312"/>
          <w:sz w:val="32"/>
          <w:szCs w:val="32"/>
        </w:rPr>
        <w:t>件，其他结果数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0</w:t>
      </w:r>
      <w:r>
        <w:rPr>
          <w:rFonts w:hint="eastAsia" w:ascii="仿宋_GB2312" w:eastAsia="仿宋_GB2312"/>
          <w:sz w:val="32"/>
          <w:szCs w:val="32"/>
        </w:rPr>
        <w:t>件。</w:t>
      </w:r>
    </w:p>
    <w:p>
      <w:pPr>
        <w:spacing w:line="560" w:lineRule="exact"/>
        <w:ind w:firstLine="640" w:firstLineChars="200"/>
        <w:rPr>
          <w:rFonts w:ascii="楷体_GB2312" w:hAnsi="黑体" w:eastAsia="楷体_GB2312"/>
          <w:sz w:val="32"/>
          <w:szCs w:val="32"/>
        </w:rPr>
      </w:pPr>
      <w:r>
        <w:rPr>
          <w:rFonts w:hint="eastAsia" w:ascii="楷体_GB2312" w:hAnsi="黑体" w:eastAsia="楷体_GB2312"/>
          <w:sz w:val="32"/>
          <w:szCs w:val="32"/>
        </w:rPr>
        <w:t>（四）政府信息管理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lang w:eastAsia="zh-CN"/>
        </w:rPr>
        <w:t>我单位对出台的政策文件按照“谁发布谁审查、谁审查谁负责”的原则，准确把握公开的内容、范围、形式和时间，严格限制不公开事项的范围。及时公布主动公开和依申请公开的文件，对失效、废止的文件进行定期清理。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 xml:space="preserve">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楷体_GB2312" w:hAnsi="黑体" w:eastAsia="楷体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 xml:space="preserve"> </w:t>
      </w:r>
      <w:r>
        <w:rPr>
          <w:rFonts w:hint="eastAsia" w:ascii="楷体_GB2312" w:hAnsi="黑体" w:eastAsia="楷体_GB2312"/>
          <w:sz w:val="32"/>
          <w:szCs w:val="32"/>
        </w:rPr>
        <w:t>（五）平台建设</w:t>
      </w:r>
    </w:p>
    <w:p>
      <w:pPr>
        <w:spacing w:line="560" w:lineRule="exact"/>
        <w:ind w:firstLine="640" w:firstLineChars="200"/>
        <w:rPr>
          <w:rFonts w:hint="eastAsia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2019年高青县投资促进中心通过加强线上渠道的板块建设，进一步丰富公开渠道方式</w:t>
      </w:r>
      <w:r>
        <w:rPr>
          <w:rFonts w:hint="eastAsia" w:ascii="仿宋_GB2312" w:eastAsia="仿宋_GB2312"/>
          <w:color w:val="auto"/>
          <w:sz w:val="32"/>
          <w:szCs w:val="32"/>
          <w:lang w:val="en-US" w:eastAsia="zh-CN"/>
        </w:rPr>
        <w:t>。通过政府信息公开网站、微信公众号等方式线上公开平台，实时发布招商引资优惠政策、重要工作落实情况等信息，主动公布咨询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、监督投诉电话，接受有关部门、新闻媒体、广大群众的评议监督检查。</w:t>
      </w:r>
    </w:p>
    <w:p>
      <w:pPr>
        <w:spacing w:line="560" w:lineRule="exact"/>
        <w:ind w:firstLine="640" w:firstLineChars="200"/>
        <w:rPr>
          <w:rFonts w:ascii="楷体_GB2312" w:hAnsi="黑体" w:eastAsia="楷体_GB2312"/>
          <w:sz w:val="32"/>
          <w:szCs w:val="32"/>
        </w:rPr>
      </w:pPr>
      <w:r>
        <w:rPr>
          <w:rFonts w:hint="eastAsia" w:ascii="楷体_GB2312" w:hAnsi="黑体" w:eastAsia="楷体_GB2312"/>
          <w:sz w:val="32"/>
          <w:szCs w:val="32"/>
        </w:rPr>
        <w:t>（六）监督保障</w:t>
      </w:r>
    </w:p>
    <w:p>
      <w:pPr>
        <w:spacing w:line="560" w:lineRule="exact"/>
        <w:ind w:firstLine="640" w:firstLineChars="200"/>
        <w:rPr>
          <w:rFonts w:hint="default" w:ascii="仿宋_GB2312" w:eastAsia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highlight w:val="none"/>
          <w:lang w:eastAsia="zh-CN"/>
        </w:rPr>
        <w:t>一是加强政务</w:t>
      </w:r>
      <w:r>
        <w:rPr>
          <w:rFonts w:hint="eastAsia" w:ascii="仿宋_GB2312" w:eastAsia="仿宋_GB2312"/>
          <w:color w:val="auto"/>
          <w:sz w:val="32"/>
          <w:szCs w:val="32"/>
          <w:highlight w:val="none"/>
          <w:lang w:eastAsia="zh-CN"/>
        </w:rPr>
        <w:t>公开业务培训</w:t>
      </w:r>
      <w:r>
        <w:rPr>
          <w:rFonts w:hint="eastAsia" w:ascii="仿宋_GB2312" w:eastAsia="仿宋_GB2312"/>
          <w:sz w:val="32"/>
          <w:szCs w:val="32"/>
          <w:highlight w:val="none"/>
          <w:lang w:eastAsia="zh-CN"/>
        </w:rPr>
        <w:t>。</w:t>
      </w:r>
      <w:r>
        <w:rPr>
          <w:rFonts w:hint="eastAsia" w:ascii="仿宋_GB2312" w:eastAsia="仿宋_GB2312"/>
          <w:sz w:val="32"/>
          <w:szCs w:val="32"/>
          <w:highlight w:val="none"/>
          <w:lang w:val="en-US" w:eastAsia="zh-CN"/>
        </w:rPr>
        <w:t>2019年，</w:t>
      </w:r>
      <w:r>
        <w:rPr>
          <w:rFonts w:hint="eastAsia" w:ascii="仿宋_GB2312" w:eastAsia="仿宋_GB2312"/>
          <w:sz w:val="32"/>
          <w:szCs w:val="32"/>
          <w:highlight w:val="none"/>
          <w:lang w:eastAsia="zh-CN"/>
        </w:rPr>
        <w:t>将</w:t>
      </w:r>
      <w:r>
        <w:rPr>
          <w:rFonts w:hint="eastAsia" w:ascii="仿宋_GB2312" w:eastAsia="仿宋_GB2312"/>
          <w:sz w:val="32"/>
          <w:szCs w:val="32"/>
          <w:highlight w:val="none"/>
        </w:rPr>
        <w:t>《政府信息公开条例》作为领导干部、工作人员年度学习的一项重要内容，加强</w:t>
      </w:r>
      <w:r>
        <w:rPr>
          <w:rFonts w:hint="eastAsia" w:ascii="仿宋_GB2312" w:eastAsia="仿宋_GB2312"/>
          <w:sz w:val="32"/>
          <w:szCs w:val="32"/>
          <w:highlight w:val="none"/>
          <w:lang w:eastAsia="zh-CN"/>
        </w:rPr>
        <w:t>对</w:t>
      </w:r>
      <w:r>
        <w:rPr>
          <w:rFonts w:hint="eastAsia" w:ascii="仿宋_GB2312" w:eastAsia="仿宋_GB2312"/>
          <w:sz w:val="32"/>
          <w:szCs w:val="32"/>
          <w:highlight w:val="none"/>
        </w:rPr>
        <w:t>信息公开知识</w:t>
      </w:r>
      <w:r>
        <w:rPr>
          <w:rFonts w:hint="eastAsia" w:ascii="仿宋_GB2312" w:eastAsia="仿宋_GB2312"/>
          <w:sz w:val="32"/>
          <w:szCs w:val="32"/>
          <w:highlight w:val="none"/>
          <w:lang w:eastAsia="zh-CN"/>
        </w:rPr>
        <w:t>的</w:t>
      </w:r>
      <w:r>
        <w:rPr>
          <w:rFonts w:hint="eastAsia" w:ascii="仿宋_GB2312" w:eastAsia="仿宋_GB2312"/>
          <w:sz w:val="32"/>
          <w:szCs w:val="32"/>
          <w:highlight w:val="none"/>
        </w:rPr>
        <w:t>学习和培训，切实提高广大干部职工对政府信息公开工作重要性的认识</w:t>
      </w:r>
      <w:r>
        <w:rPr>
          <w:rFonts w:hint="eastAsia" w:ascii="仿宋_GB2312" w:eastAsia="仿宋_GB2312"/>
          <w:sz w:val="32"/>
          <w:szCs w:val="32"/>
          <w:highlight w:val="none"/>
          <w:lang w:eastAsia="zh-CN"/>
        </w:rPr>
        <w:t>。二是健全公开制度。根据工作实际需要，完善属于主动公开范围的相关信息，做到按规定分类、及时发布信息，确保信息的时效性。做到以制度管人、按程序办事，把信息公开工作作为年度考核指标重点工作，并定期开展自查自纠，对存在的问题及时整改解决。</w:t>
      </w:r>
      <w:r>
        <w:rPr>
          <w:rFonts w:hint="eastAsia" w:ascii="仿宋_GB2312" w:eastAsia="仿宋_GB2312"/>
          <w:sz w:val="32"/>
          <w:szCs w:val="32"/>
          <w:highlight w:val="none"/>
          <w:lang w:val="en-US" w:eastAsia="zh-CN"/>
        </w:rPr>
        <w:t>三是明确考核指标。将政务信息公开纳入科室工作的硬指标，责任到人，以考核为指挥棒，不断提升政务公开工作质量。四是加强社会评议工作。通过政府信箱、监督电话、开展政府开放日活动等形式，向服务对象开门纳谏。</w:t>
      </w:r>
    </w:p>
    <w:p>
      <w:pPr>
        <w:spacing w:line="560" w:lineRule="exact"/>
        <w:ind w:firstLine="640" w:firstLineChars="200"/>
        <w:rPr>
          <w:rFonts w:hint="eastAsia"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二、主动公开政府信息情况</w:t>
      </w:r>
    </w:p>
    <w:p>
      <w:pPr>
        <w:spacing w:line="560" w:lineRule="exact"/>
        <w:ind w:firstLine="640" w:firstLineChars="200"/>
        <w:rPr>
          <w:rFonts w:hint="eastAsia" w:ascii="黑体" w:hAnsi="黑体" w:eastAsia="黑体"/>
          <w:sz w:val="32"/>
          <w:szCs w:val="32"/>
        </w:rPr>
      </w:pPr>
    </w:p>
    <w:tbl>
      <w:tblPr>
        <w:tblStyle w:val="8"/>
        <w:tblW w:w="8705" w:type="dxa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752"/>
        <w:gridCol w:w="1984"/>
        <w:gridCol w:w="1985"/>
        <w:gridCol w:w="1984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870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eastAsia="宋体" w:cs="宋体"/>
                <w:b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333333"/>
                <w:kern w:val="0"/>
                <w:sz w:val="24"/>
                <w:szCs w:val="24"/>
              </w:rPr>
              <w:t>第二十条第（一）项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2" w:hRule="atLeast"/>
          <w:jc w:val="center"/>
        </w:trPr>
        <w:tc>
          <w:tcPr>
            <w:tcW w:w="27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信息内容</w:t>
            </w: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本年新</w:t>
            </w:r>
            <w:r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  <w:t>制作数量</w:t>
            </w:r>
          </w:p>
        </w:tc>
        <w:tc>
          <w:tcPr>
            <w:tcW w:w="19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本年新</w:t>
            </w:r>
            <w:r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  <w:t>公开数量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对外公开总数量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2" w:hRule="atLeast"/>
          <w:jc w:val="center"/>
        </w:trPr>
        <w:tc>
          <w:tcPr>
            <w:tcW w:w="27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规章</w:t>
            </w:r>
          </w:p>
        </w:tc>
        <w:tc>
          <w:tcPr>
            <w:tcW w:w="198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default" w:ascii="Times New Roman" w:hAnsi="Times New Roman" w:eastAsia="宋体" w:cs="Times New Roman"/>
                <w:color w:val="333333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19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default" w:ascii="Times New Roman" w:hAnsi="Times New Roman" w:eastAsia="宋体" w:cs="Times New Roman"/>
                <w:color w:val="333333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default" w:ascii="Times New Roman" w:hAnsi="Times New Roman" w:eastAsia="宋体" w:cs="Times New Roman"/>
                <w:color w:val="333333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val="en-US" w:eastAsia="zh-CN"/>
              </w:rPr>
              <w:t>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2" w:hRule="atLeast"/>
          <w:jc w:val="center"/>
        </w:trPr>
        <w:tc>
          <w:tcPr>
            <w:tcW w:w="27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规范性文件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default" w:ascii="Times New Roman" w:hAnsi="Times New Roman" w:eastAsia="宋体" w:cs="Times New Roman"/>
                <w:color w:val="333333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333333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default" w:ascii="Times New Roman" w:hAnsi="Times New Roman" w:eastAsia="宋体" w:cs="Times New Roman"/>
                <w:color w:val="333333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default" w:ascii="Times New Roman" w:hAnsi="Times New Roman" w:eastAsia="宋体" w:cs="Times New Roman"/>
                <w:color w:val="333333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val="en-US" w:eastAsia="zh-CN"/>
              </w:rPr>
              <w:t>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870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333333"/>
                <w:kern w:val="0"/>
                <w:sz w:val="24"/>
                <w:szCs w:val="24"/>
              </w:rPr>
              <w:t>第二十条第（五）项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4" w:hRule="atLeast"/>
          <w:jc w:val="center"/>
        </w:trPr>
        <w:tc>
          <w:tcPr>
            <w:tcW w:w="27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信息内容</w:t>
            </w:r>
          </w:p>
        </w:tc>
        <w:tc>
          <w:tcPr>
            <w:tcW w:w="198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上一年项目数量</w:t>
            </w:r>
          </w:p>
        </w:tc>
        <w:tc>
          <w:tcPr>
            <w:tcW w:w="19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本年增/减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处理决定数量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0" w:hRule="atLeast"/>
          <w:jc w:val="center"/>
        </w:trPr>
        <w:tc>
          <w:tcPr>
            <w:tcW w:w="27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行政许可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default" w:ascii="Times New Roman" w:hAnsi="Times New Roman" w:eastAsia="宋体" w:cs="Times New Roman"/>
                <w:color w:val="333333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default" w:ascii="Times New Roman" w:hAnsi="Times New Roman" w:eastAsia="宋体" w:cs="Times New Roman"/>
                <w:color w:val="333333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default" w:ascii="Times New Roman" w:hAnsi="Times New Roman" w:eastAsia="宋体" w:cs="Times New Roman"/>
                <w:color w:val="333333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val="en-US" w:eastAsia="zh-CN"/>
              </w:rPr>
              <w:t>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4" w:hRule="atLeast"/>
          <w:jc w:val="center"/>
        </w:trPr>
        <w:tc>
          <w:tcPr>
            <w:tcW w:w="27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其他对外管理服务事项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default" w:ascii="Times New Roman" w:hAnsi="Times New Roman" w:eastAsia="宋体" w:cs="Times New Roman"/>
                <w:color w:val="333333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4"/>
                <w:szCs w:val="24"/>
                <w:lang w:val="en-US" w:eastAsia="zh-CN"/>
              </w:rPr>
              <w:t>18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default" w:ascii="Times New Roman" w:hAnsi="Times New Roman" w:eastAsia="宋体" w:cs="Times New Roman"/>
                <w:color w:val="333333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4"/>
                <w:szCs w:val="24"/>
                <w:lang w:val="en-US" w:eastAsia="zh-CN"/>
              </w:rPr>
              <w:t>-</w:t>
            </w:r>
            <w:bookmarkStart w:id="0" w:name="_GoBack"/>
            <w:bookmarkEnd w:id="0"/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default" w:ascii="Times New Roman" w:hAnsi="Times New Roman" w:eastAsia="宋体" w:cs="Times New Roman"/>
                <w:color w:val="333333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4"/>
                <w:szCs w:val="24"/>
                <w:lang w:val="en-US" w:eastAsia="zh-CN"/>
              </w:rPr>
              <w:t>17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 w:hRule="atLeast"/>
          <w:jc w:val="center"/>
        </w:trPr>
        <w:tc>
          <w:tcPr>
            <w:tcW w:w="870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333333"/>
                <w:kern w:val="0"/>
                <w:sz w:val="24"/>
                <w:szCs w:val="24"/>
              </w:rPr>
              <w:t>第二十条第（六）项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4" w:hRule="atLeast"/>
          <w:jc w:val="center"/>
        </w:trPr>
        <w:tc>
          <w:tcPr>
            <w:tcW w:w="27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信息内容</w:t>
            </w:r>
          </w:p>
        </w:tc>
        <w:tc>
          <w:tcPr>
            <w:tcW w:w="198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上一年项目数量</w:t>
            </w:r>
          </w:p>
        </w:tc>
        <w:tc>
          <w:tcPr>
            <w:tcW w:w="19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本年增/减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处理决定数量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4" w:hRule="atLeast"/>
          <w:jc w:val="center"/>
        </w:trPr>
        <w:tc>
          <w:tcPr>
            <w:tcW w:w="27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行政处罚</w:t>
            </w:r>
          </w:p>
        </w:tc>
        <w:tc>
          <w:tcPr>
            <w:tcW w:w="198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default" w:ascii="Times New Roman" w:hAnsi="Times New Roman" w:eastAsia="宋体" w:cs="Times New Roman"/>
                <w:color w:val="333333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333333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19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default" w:ascii="Times New Roman" w:hAnsi="Times New Roman" w:eastAsia="宋体" w:cs="Times New Roman"/>
                <w:color w:val="333333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333333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default" w:ascii="Times New Roman" w:hAnsi="Times New Roman" w:eastAsia="宋体" w:cs="Times New Roman"/>
                <w:color w:val="333333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333333"/>
                <w:kern w:val="0"/>
                <w:sz w:val="24"/>
                <w:szCs w:val="24"/>
                <w:lang w:val="en-US" w:eastAsia="zh-CN"/>
              </w:rPr>
              <w:t>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2" w:hRule="atLeast"/>
          <w:jc w:val="center"/>
        </w:trPr>
        <w:tc>
          <w:tcPr>
            <w:tcW w:w="27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行政强制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default" w:ascii="Times New Roman" w:hAnsi="Times New Roman" w:eastAsia="宋体" w:cs="Times New Roman"/>
                <w:color w:val="333333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333333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default" w:ascii="Times New Roman" w:hAnsi="Times New Roman" w:eastAsia="宋体" w:cs="Times New Roman"/>
                <w:color w:val="333333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333333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default" w:ascii="Times New Roman" w:hAnsi="Times New Roman" w:eastAsia="宋体" w:cs="Times New Roman"/>
                <w:color w:val="333333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333333"/>
                <w:kern w:val="0"/>
                <w:sz w:val="24"/>
                <w:szCs w:val="24"/>
                <w:lang w:val="en-US" w:eastAsia="zh-CN"/>
              </w:rPr>
              <w:t>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4" w:hRule="atLeast"/>
          <w:jc w:val="center"/>
        </w:trPr>
        <w:tc>
          <w:tcPr>
            <w:tcW w:w="870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333333"/>
                <w:kern w:val="0"/>
                <w:sz w:val="24"/>
                <w:szCs w:val="24"/>
              </w:rPr>
              <w:t>第二十条第（八）项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27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信息内容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上一年项目数量</w:t>
            </w:r>
          </w:p>
        </w:tc>
        <w:tc>
          <w:tcPr>
            <w:tcW w:w="396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本年增/减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2" w:hRule="atLeast"/>
          <w:jc w:val="center"/>
        </w:trPr>
        <w:tc>
          <w:tcPr>
            <w:tcW w:w="27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行政事业性收费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default" w:ascii="Times New Roman" w:hAnsi="Times New Roman" w:eastAsia="宋体" w:cs="Times New Roman"/>
                <w:color w:val="333333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396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default" w:ascii="Times New Roman" w:hAnsi="Times New Roman" w:eastAsia="宋体" w:cs="Times New Roman"/>
                <w:color w:val="333333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val="en-US" w:eastAsia="zh-CN"/>
              </w:rPr>
              <w:t>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  <w:jc w:val="center"/>
        </w:trPr>
        <w:tc>
          <w:tcPr>
            <w:tcW w:w="870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333333"/>
                <w:kern w:val="0"/>
                <w:sz w:val="24"/>
                <w:szCs w:val="24"/>
              </w:rPr>
              <w:t>第二十条第（九）项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  <w:jc w:val="center"/>
        </w:trPr>
        <w:tc>
          <w:tcPr>
            <w:tcW w:w="27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信息内容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采购项目数量</w:t>
            </w:r>
          </w:p>
        </w:tc>
        <w:tc>
          <w:tcPr>
            <w:tcW w:w="396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采购总金额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2" w:hRule="atLeast"/>
          <w:jc w:val="center"/>
        </w:trPr>
        <w:tc>
          <w:tcPr>
            <w:tcW w:w="27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政府集中采购</w:t>
            </w: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default" w:ascii="Times New Roman" w:hAnsi="Times New Roman" w:eastAsia="宋体" w:cs="Times New Roman"/>
                <w:color w:val="333333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396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default" w:ascii="Times New Roman" w:hAnsi="Times New Roman" w:eastAsia="宋体" w:cs="Times New Roman"/>
                <w:color w:val="333333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333333"/>
                <w:kern w:val="0"/>
                <w:sz w:val="24"/>
                <w:szCs w:val="24"/>
                <w:lang w:val="en-US" w:eastAsia="zh-CN"/>
              </w:rPr>
              <w:t>0</w:t>
            </w:r>
          </w:p>
        </w:tc>
      </w:tr>
    </w:tbl>
    <w:p>
      <w:pPr>
        <w:spacing w:line="560" w:lineRule="exact"/>
        <w:rPr>
          <w:rFonts w:ascii="黑体" w:hAnsi="黑体" w:eastAsia="黑体"/>
          <w:sz w:val="32"/>
          <w:szCs w:val="32"/>
        </w:rPr>
        <w:sectPr>
          <w:pgSz w:w="11906" w:h="16838"/>
          <w:pgMar w:top="1587" w:right="1474" w:bottom="1587" w:left="1474" w:header="851" w:footer="992" w:gutter="0"/>
          <w:cols w:space="425" w:num="1"/>
          <w:docGrid w:type="lines" w:linePitch="312" w:charSpace="0"/>
        </w:sectPr>
      </w:pPr>
    </w:p>
    <w:p>
      <w:pPr>
        <w:spacing w:line="560" w:lineRule="exact"/>
        <w:ind w:firstLine="640" w:firstLineChars="200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三、收到和处理政府信息公开申请情况</w:t>
      </w:r>
    </w:p>
    <w:tbl>
      <w:tblPr>
        <w:tblStyle w:val="8"/>
        <w:tblW w:w="907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94"/>
        <w:gridCol w:w="855"/>
        <w:gridCol w:w="2130"/>
        <w:gridCol w:w="825"/>
        <w:gridCol w:w="765"/>
        <w:gridCol w:w="765"/>
        <w:gridCol w:w="825"/>
        <w:gridCol w:w="990"/>
        <w:gridCol w:w="720"/>
        <w:gridCol w:w="70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479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333333"/>
                <w:kern w:val="0"/>
                <w:szCs w:val="21"/>
              </w:rPr>
            </w:pPr>
            <w:r>
              <w:rPr>
                <w:rFonts w:hint="eastAsia" w:ascii="Calibri" w:hAnsi="Calibri" w:eastAsia="宋体" w:cs="Times New Roman"/>
                <w:color w:val="333333"/>
                <w:szCs w:val="21"/>
              </w:rPr>
              <w:t>（本列数据的勾稽关系为：第一项加第二项之和，等于第三项加第四项之和）</w:t>
            </w:r>
          </w:p>
        </w:tc>
        <w:tc>
          <w:tcPr>
            <w:tcW w:w="5592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333333"/>
                <w:kern w:val="0"/>
                <w:szCs w:val="21"/>
              </w:rPr>
            </w:pPr>
            <w:r>
              <w:rPr>
                <w:rFonts w:hint="eastAsia" w:ascii="Calibri" w:hAnsi="Calibri" w:eastAsia="宋体" w:cs="Times New Roman"/>
                <w:color w:val="333333"/>
                <w:szCs w:val="21"/>
              </w:rPr>
              <w:t>申请人情况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594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333333"/>
                <w:kern w:val="0"/>
                <w:szCs w:val="21"/>
              </w:rPr>
            </w:pPr>
          </w:p>
        </w:tc>
        <w:tc>
          <w:tcPr>
            <w:tcW w:w="825" w:type="dxa"/>
            <w:vMerge w:val="restar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333333"/>
                <w:kern w:val="0"/>
                <w:szCs w:val="21"/>
              </w:rPr>
            </w:pPr>
            <w:r>
              <w:rPr>
                <w:rFonts w:hint="eastAsia" w:ascii="Calibri" w:hAnsi="Calibri" w:eastAsia="宋体" w:cs="Times New Roman"/>
                <w:color w:val="333333"/>
                <w:szCs w:val="21"/>
              </w:rPr>
              <w:t>自然人</w:t>
            </w:r>
          </w:p>
        </w:tc>
        <w:tc>
          <w:tcPr>
            <w:tcW w:w="4065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333333"/>
                <w:kern w:val="0"/>
                <w:szCs w:val="21"/>
              </w:rPr>
            </w:pPr>
            <w:r>
              <w:rPr>
                <w:rFonts w:hint="eastAsia" w:ascii="Calibri" w:hAnsi="Calibri" w:eastAsia="宋体" w:cs="Times New Roman"/>
                <w:color w:val="333333"/>
                <w:szCs w:val="21"/>
              </w:rPr>
              <w:t>法人或其他组织</w:t>
            </w:r>
          </w:p>
        </w:tc>
        <w:tc>
          <w:tcPr>
            <w:tcW w:w="702" w:type="dxa"/>
            <w:vMerge w:val="restar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333333"/>
                <w:kern w:val="0"/>
                <w:szCs w:val="21"/>
              </w:rPr>
            </w:pPr>
            <w:r>
              <w:rPr>
                <w:rFonts w:hint="eastAsia" w:ascii="Calibri" w:hAnsi="Calibri" w:eastAsia="宋体" w:cs="Times New Roman"/>
                <w:color w:val="333333"/>
                <w:szCs w:val="21"/>
              </w:rPr>
              <w:t>总计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594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333333"/>
                <w:kern w:val="0"/>
                <w:szCs w:val="21"/>
              </w:rPr>
            </w:pPr>
          </w:p>
        </w:tc>
        <w:tc>
          <w:tcPr>
            <w:tcW w:w="5592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333333"/>
                <w:kern w:val="0"/>
                <w:szCs w:val="21"/>
              </w:rPr>
            </w:pPr>
          </w:p>
        </w:tc>
        <w:tc>
          <w:tcPr>
            <w:tcW w:w="7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333333"/>
                <w:kern w:val="0"/>
                <w:szCs w:val="21"/>
              </w:rPr>
            </w:pPr>
            <w:r>
              <w:rPr>
                <w:rFonts w:hint="eastAsia" w:ascii="Calibri" w:hAnsi="Calibri" w:eastAsia="宋体" w:cs="Times New Roman"/>
                <w:color w:val="333333"/>
                <w:szCs w:val="21"/>
              </w:rPr>
              <w:t>商业企业</w:t>
            </w:r>
          </w:p>
        </w:tc>
        <w:tc>
          <w:tcPr>
            <w:tcW w:w="7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333333"/>
                <w:kern w:val="0"/>
                <w:szCs w:val="21"/>
              </w:rPr>
            </w:pPr>
            <w:r>
              <w:rPr>
                <w:rFonts w:hint="eastAsia" w:ascii="Calibri" w:hAnsi="Calibri" w:eastAsia="宋体" w:cs="Times New Roman"/>
                <w:color w:val="333333"/>
                <w:szCs w:val="21"/>
              </w:rPr>
              <w:t>科研机构</w:t>
            </w:r>
          </w:p>
        </w:tc>
        <w:tc>
          <w:tcPr>
            <w:tcW w:w="8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333333"/>
                <w:kern w:val="0"/>
                <w:szCs w:val="21"/>
              </w:rPr>
            </w:pPr>
            <w:r>
              <w:rPr>
                <w:rFonts w:hint="eastAsia" w:ascii="Calibri" w:hAnsi="Calibri" w:eastAsia="宋体" w:cs="Times New Roman"/>
                <w:color w:val="333333"/>
                <w:szCs w:val="21"/>
              </w:rPr>
              <w:t>社会公益组织</w:t>
            </w:r>
          </w:p>
        </w:tc>
        <w:tc>
          <w:tcPr>
            <w:tcW w:w="9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333333"/>
                <w:kern w:val="0"/>
                <w:szCs w:val="21"/>
              </w:rPr>
            </w:pPr>
            <w:r>
              <w:rPr>
                <w:rFonts w:hint="eastAsia" w:ascii="Calibri" w:hAnsi="Calibri" w:eastAsia="宋体" w:cs="Times New Roman"/>
                <w:color w:val="333333"/>
                <w:szCs w:val="21"/>
              </w:rPr>
              <w:t>法律服务机构</w:t>
            </w:r>
          </w:p>
        </w:tc>
        <w:tc>
          <w:tcPr>
            <w:tcW w:w="7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333333"/>
                <w:kern w:val="0"/>
                <w:szCs w:val="21"/>
              </w:rPr>
            </w:pPr>
            <w:r>
              <w:rPr>
                <w:rFonts w:hint="eastAsia" w:ascii="Calibri" w:hAnsi="Calibri" w:eastAsia="宋体" w:cs="Times New Roman"/>
                <w:color w:val="333333"/>
                <w:szCs w:val="21"/>
              </w:rPr>
              <w:t>其他</w:t>
            </w:r>
          </w:p>
        </w:tc>
        <w:tc>
          <w:tcPr>
            <w:tcW w:w="702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333333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3" w:hRule="atLeast"/>
          <w:jc w:val="center"/>
        </w:trPr>
        <w:tc>
          <w:tcPr>
            <w:tcW w:w="347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333333"/>
                <w:kern w:val="0"/>
                <w:szCs w:val="21"/>
              </w:rPr>
            </w:pPr>
            <w:r>
              <w:rPr>
                <w:rFonts w:hint="eastAsia" w:ascii="Calibri" w:hAnsi="Calibri" w:eastAsia="宋体" w:cs="Times New Roman"/>
                <w:color w:val="333333"/>
                <w:szCs w:val="21"/>
              </w:rPr>
              <w:t>一、本年新收政府信息公开申请数量</w:t>
            </w:r>
          </w:p>
        </w:tc>
        <w:tc>
          <w:tcPr>
            <w:tcW w:w="8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333333"/>
                <w:kern w:val="0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333333"/>
                <w:szCs w:val="21"/>
                <w:lang w:val="en-US" w:eastAsia="zh-CN"/>
              </w:rPr>
              <w:t>0</w:t>
            </w:r>
          </w:p>
        </w:tc>
        <w:tc>
          <w:tcPr>
            <w:tcW w:w="7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宋体" w:cs="Times New Roman"/>
                <w:color w:val="333333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333333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7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宋体" w:cs="Times New Roman"/>
                <w:color w:val="333333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333333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8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宋体" w:cs="Times New Roman"/>
                <w:color w:val="333333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333333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9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宋体" w:cs="Times New Roman"/>
                <w:color w:val="333333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333333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7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宋体" w:cs="Times New Roman"/>
                <w:color w:val="333333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333333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70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宋体" w:cs="Times New Roman"/>
                <w:color w:val="333333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333333"/>
                <w:kern w:val="0"/>
                <w:szCs w:val="21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3" w:hRule="atLeast"/>
          <w:jc w:val="center"/>
        </w:trPr>
        <w:tc>
          <w:tcPr>
            <w:tcW w:w="347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333333"/>
                <w:kern w:val="0"/>
                <w:szCs w:val="21"/>
              </w:rPr>
            </w:pPr>
            <w:r>
              <w:rPr>
                <w:rFonts w:hint="eastAsia" w:ascii="Calibri" w:hAnsi="Calibri" w:eastAsia="宋体" w:cs="Times New Roman"/>
                <w:color w:val="333333"/>
                <w:szCs w:val="21"/>
              </w:rPr>
              <w:t>二、上年结转政府信息公开申请数量</w:t>
            </w:r>
          </w:p>
        </w:tc>
        <w:tc>
          <w:tcPr>
            <w:tcW w:w="8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宋体" w:cs="Times New Roman"/>
                <w:color w:val="333333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333333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7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宋体" w:cs="Times New Roman"/>
                <w:color w:val="333333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333333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7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宋体" w:cs="Times New Roman"/>
                <w:color w:val="333333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333333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8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宋体" w:cs="Times New Roman"/>
                <w:color w:val="333333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333333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9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宋体" w:cs="Times New Roman"/>
                <w:color w:val="333333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333333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7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宋体" w:cs="Times New Roman"/>
                <w:color w:val="333333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333333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70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333333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333333"/>
                <w:kern w:val="0"/>
                <w:szCs w:val="21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1" w:hRule="atLeast"/>
          <w:jc w:val="center"/>
        </w:trPr>
        <w:tc>
          <w:tcPr>
            <w:tcW w:w="494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333333"/>
                <w:kern w:val="0"/>
                <w:szCs w:val="21"/>
              </w:rPr>
            </w:pPr>
            <w:r>
              <w:rPr>
                <w:rFonts w:hint="eastAsia" w:ascii="Calibri" w:hAnsi="Calibri" w:eastAsia="宋体" w:cs="Times New Roman"/>
                <w:color w:val="333333"/>
                <w:szCs w:val="21"/>
              </w:rPr>
              <w:t>三、本年度办理结果</w:t>
            </w:r>
          </w:p>
        </w:tc>
        <w:tc>
          <w:tcPr>
            <w:tcW w:w="298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333333"/>
                <w:kern w:val="0"/>
                <w:szCs w:val="21"/>
              </w:rPr>
            </w:pPr>
            <w:r>
              <w:rPr>
                <w:rFonts w:hint="eastAsia" w:ascii="楷体" w:hAnsi="楷体" w:eastAsia="楷体" w:cs="宋体"/>
                <w:color w:val="333333"/>
                <w:szCs w:val="21"/>
              </w:rPr>
              <w:t>（一）予以公开</w:t>
            </w:r>
          </w:p>
        </w:tc>
        <w:tc>
          <w:tcPr>
            <w:tcW w:w="8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宋体" w:cs="Times New Roman"/>
                <w:color w:val="333333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333333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7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宋体" w:cs="Times New Roman"/>
                <w:color w:val="333333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333333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7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宋体" w:cs="Times New Roman"/>
                <w:color w:val="333333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333333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8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宋体" w:cs="Times New Roman"/>
                <w:color w:val="333333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333333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9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宋体" w:cs="Times New Roman"/>
                <w:color w:val="333333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333333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7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宋体" w:cs="Times New Roman"/>
                <w:color w:val="333333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333333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70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宋体" w:cs="Times New Roman"/>
                <w:color w:val="333333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333333"/>
                <w:kern w:val="0"/>
                <w:szCs w:val="21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47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333333"/>
                <w:kern w:val="0"/>
                <w:szCs w:val="21"/>
              </w:rPr>
            </w:pPr>
          </w:p>
        </w:tc>
        <w:tc>
          <w:tcPr>
            <w:tcW w:w="298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333333"/>
                <w:kern w:val="0"/>
                <w:szCs w:val="21"/>
              </w:rPr>
            </w:pPr>
            <w:r>
              <w:rPr>
                <w:rFonts w:hint="eastAsia" w:ascii="楷体" w:hAnsi="楷体" w:eastAsia="楷体" w:cs="宋体"/>
                <w:color w:val="333333"/>
                <w:szCs w:val="21"/>
              </w:rPr>
              <w:t>（二）部分公开（区分处理的，只计这一情形，不计其他情形）</w:t>
            </w:r>
          </w:p>
        </w:tc>
        <w:tc>
          <w:tcPr>
            <w:tcW w:w="8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宋体" w:cs="Times New Roman"/>
                <w:color w:val="333333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333333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7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宋体" w:cs="Times New Roman"/>
                <w:color w:val="333333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333333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7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宋体" w:cs="Times New Roman"/>
                <w:color w:val="333333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333333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8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宋体" w:cs="Times New Roman"/>
                <w:color w:val="333333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333333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9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宋体" w:cs="Times New Roman"/>
                <w:color w:val="333333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333333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7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宋体" w:cs="Times New Roman"/>
                <w:color w:val="333333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333333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70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宋体" w:cs="Times New Roman"/>
                <w:color w:val="333333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333333"/>
                <w:kern w:val="0"/>
                <w:szCs w:val="21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  <w:jc w:val="center"/>
        </w:trPr>
        <w:tc>
          <w:tcPr>
            <w:tcW w:w="347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333333"/>
                <w:kern w:val="0"/>
                <w:szCs w:val="21"/>
              </w:rPr>
            </w:pPr>
          </w:p>
        </w:tc>
        <w:tc>
          <w:tcPr>
            <w:tcW w:w="855" w:type="dxa"/>
            <w:vMerge w:val="restar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333333"/>
                <w:kern w:val="0"/>
                <w:szCs w:val="21"/>
              </w:rPr>
            </w:pPr>
            <w:r>
              <w:rPr>
                <w:rFonts w:hint="eastAsia" w:ascii="楷体" w:hAnsi="楷体" w:eastAsia="楷体" w:cs="宋体"/>
                <w:color w:val="333333"/>
                <w:szCs w:val="21"/>
              </w:rPr>
              <w:t>（三）不予公开</w:t>
            </w:r>
          </w:p>
        </w:tc>
        <w:tc>
          <w:tcPr>
            <w:tcW w:w="21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333333"/>
                <w:kern w:val="0"/>
                <w:szCs w:val="21"/>
              </w:rPr>
            </w:pPr>
            <w:r>
              <w:rPr>
                <w:rFonts w:hint="eastAsia" w:ascii="楷体" w:hAnsi="楷体" w:eastAsia="楷体" w:cs="宋体"/>
                <w:color w:val="333333"/>
                <w:szCs w:val="21"/>
              </w:rPr>
              <w:t>1.属于国家秘密</w:t>
            </w:r>
          </w:p>
        </w:tc>
        <w:tc>
          <w:tcPr>
            <w:tcW w:w="8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宋体" w:cs="Times New Roman"/>
                <w:color w:val="333333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333333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7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宋体" w:cs="Times New Roman"/>
                <w:color w:val="333333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333333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7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宋体" w:cs="Times New Roman"/>
                <w:color w:val="333333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333333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8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宋体" w:cs="Times New Roman"/>
                <w:color w:val="333333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333333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9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宋体" w:cs="Times New Roman"/>
                <w:color w:val="333333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333333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7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宋体" w:cs="Times New Roman"/>
                <w:color w:val="333333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333333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70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宋体" w:cs="Times New Roman"/>
                <w:color w:val="333333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333333"/>
                <w:kern w:val="0"/>
                <w:szCs w:val="21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47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333333"/>
                <w:kern w:val="0"/>
                <w:szCs w:val="21"/>
              </w:rPr>
            </w:pPr>
          </w:p>
        </w:tc>
        <w:tc>
          <w:tcPr>
            <w:tcW w:w="2985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333333"/>
                <w:kern w:val="0"/>
                <w:szCs w:val="21"/>
              </w:rPr>
            </w:pPr>
          </w:p>
        </w:tc>
        <w:tc>
          <w:tcPr>
            <w:tcW w:w="21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333333"/>
                <w:kern w:val="0"/>
                <w:szCs w:val="21"/>
              </w:rPr>
            </w:pPr>
            <w:r>
              <w:rPr>
                <w:rFonts w:hint="eastAsia" w:ascii="楷体" w:hAnsi="楷体" w:eastAsia="楷体" w:cs="宋体"/>
                <w:color w:val="333333"/>
                <w:szCs w:val="21"/>
              </w:rPr>
              <w:t>2.其他法律行政法规禁止公开</w:t>
            </w:r>
          </w:p>
        </w:tc>
        <w:tc>
          <w:tcPr>
            <w:tcW w:w="8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宋体" w:cs="Times New Roman"/>
                <w:color w:val="333333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333333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7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宋体" w:cs="Times New Roman"/>
                <w:color w:val="333333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333333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7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宋体" w:cs="Times New Roman"/>
                <w:color w:val="333333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333333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8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宋体" w:cs="Times New Roman"/>
                <w:color w:val="333333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333333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9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宋体" w:cs="Times New Roman"/>
                <w:color w:val="333333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333333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7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宋体" w:cs="Times New Roman"/>
                <w:color w:val="333333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333333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70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宋体" w:cs="Times New Roman"/>
                <w:color w:val="333333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333333"/>
                <w:kern w:val="0"/>
                <w:szCs w:val="21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47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333333"/>
                <w:kern w:val="0"/>
                <w:szCs w:val="21"/>
              </w:rPr>
            </w:pPr>
          </w:p>
        </w:tc>
        <w:tc>
          <w:tcPr>
            <w:tcW w:w="2985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333333"/>
                <w:kern w:val="0"/>
                <w:szCs w:val="21"/>
              </w:rPr>
            </w:pPr>
          </w:p>
        </w:tc>
        <w:tc>
          <w:tcPr>
            <w:tcW w:w="21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333333"/>
                <w:kern w:val="0"/>
                <w:szCs w:val="21"/>
              </w:rPr>
            </w:pPr>
            <w:r>
              <w:rPr>
                <w:rFonts w:hint="eastAsia" w:ascii="楷体" w:hAnsi="楷体" w:eastAsia="楷体" w:cs="宋体"/>
                <w:color w:val="333333"/>
                <w:szCs w:val="21"/>
              </w:rPr>
              <w:t>3.危及“三安全一稳定”</w:t>
            </w:r>
          </w:p>
        </w:tc>
        <w:tc>
          <w:tcPr>
            <w:tcW w:w="8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宋体" w:cs="Times New Roman"/>
                <w:color w:val="333333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333333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7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宋体" w:cs="Times New Roman"/>
                <w:color w:val="333333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333333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7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宋体" w:cs="Times New Roman"/>
                <w:color w:val="333333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333333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8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宋体" w:cs="Times New Roman"/>
                <w:color w:val="333333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333333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9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宋体" w:cs="Times New Roman"/>
                <w:color w:val="333333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333333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7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宋体" w:cs="Times New Roman"/>
                <w:color w:val="333333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333333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70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宋体" w:cs="Times New Roman"/>
                <w:color w:val="333333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333333"/>
                <w:kern w:val="0"/>
                <w:szCs w:val="21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47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333333"/>
                <w:kern w:val="0"/>
                <w:szCs w:val="21"/>
              </w:rPr>
            </w:pPr>
          </w:p>
        </w:tc>
        <w:tc>
          <w:tcPr>
            <w:tcW w:w="2985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333333"/>
                <w:kern w:val="0"/>
                <w:szCs w:val="21"/>
              </w:rPr>
            </w:pPr>
          </w:p>
        </w:tc>
        <w:tc>
          <w:tcPr>
            <w:tcW w:w="21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333333"/>
                <w:kern w:val="0"/>
                <w:szCs w:val="21"/>
              </w:rPr>
            </w:pPr>
            <w:r>
              <w:rPr>
                <w:rFonts w:hint="eastAsia" w:ascii="楷体" w:hAnsi="楷体" w:eastAsia="楷体" w:cs="宋体"/>
                <w:color w:val="333333"/>
                <w:szCs w:val="21"/>
              </w:rPr>
              <w:t>4.保护第三方合法权益</w:t>
            </w:r>
          </w:p>
        </w:tc>
        <w:tc>
          <w:tcPr>
            <w:tcW w:w="8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宋体" w:cs="Times New Roman"/>
                <w:color w:val="333333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333333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7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宋体" w:cs="Times New Roman"/>
                <w:color w:val="333333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333333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7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宋体" w:cs="Times New Roman"/>
                <w:color w:val="333333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333333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8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宋体" w:cs="Times New Roman"/>
                <w:color w:val="333333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333333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9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宋体" w:cs="Times New Roman"/>
                <w:color w:val="333333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333333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7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宋体" w:cs="Times New Roman"/>
                <w:color w:val="333333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333333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70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宋体" w:cs="Times New Roman"/>
                <w:color w:val="333333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333333"/>
                <w:kern w:val="0"/>
                <w:szCs w:val="21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47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333333"/>
                <w:kern w:val="0"/>
                <w:szCs w:val="21"/>
              </w:rPr>
            </w:pPr>
          </w:p>
        </w:tc>
        <w:tc>
          <w:tcPr>
            <w:tcW w:w="2985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333333"/>
                <w:kern w:val="0"/>
                <w:szCs w:val="21"/>
              </w:rPr>
            </w:pPr>
          </w:p>
        </w:tc>
        <w:tc>
          <w:tcPr>
            <w:tcW w:w="21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333333"/>
                <w:kern w:val="0"/>
                <w:szCs w:val="21"/>
              </w:rPr>
            </w:pPr>
            <w:r>
              <w:rPr>
                <w:rFonts w:hint="eastAsia" w:ascii="楷体" w:hAnsi="楷体" w:eastAsia="楷体" w:cs="宋体"/>
                <w:color w:val="333333"/>
                <w:szCs w:val="21"/>
              </w:rPr>
              <w:t>5.属于三类内部事务信息</w:t>
            </w:r>
          </w:p>
        </w:tc>
        <w:tc>
          <w:tcPr>
            <w:tcW w:w="8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宋体" w:cs="Times New Roman"/>
                <w:color w:val="333333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333333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7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宋体" w:cs="Times New Roman"/>
                <w:color w:val="333333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333333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7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宋体" w:cs="Times New Roman"/>
                <w:color w:val="333333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333333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8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宋体" w:cs="Times New Roman"/>
                <w:color w:val="333333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333333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9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宋体" w:cs="Times New Roman"/>
                <w:color w:val="333333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333333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7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宋体" w:cs="Times New Roman"/>
                <w:color w:val="333333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333333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70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宋体" w:cs="Times New Roman"/>
                <w:color w:val="333333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333333"/>
                <w:kern w:val="0"/>
                <w:szCs w:val="21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47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333333"/>
                <w:kern w:val="0"/>
                <w:szCs w:val="21"/>
              </w:rPr>
            </w:pPr>
          </w:p>
        </w:tc>
        <w:tc>
          <w:tcPr>
            <w:tcW w:w="2985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333333"/>
                <w:kern w:val="0"/>
                <w:szCs w:val="21"/>
              </w:rPr>
            </w:pPr>
          </w:p>
        </w:tc>
        <w:tc>
          <w:tcPr>
            <w:tcW w:w="21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333333"/>
                <w:kern w:val="0"/>
                <w:szCs w:val="21"/>
              </w:rPr>
            </w:pPr>
            <w:r>
              <w:rPr>
                <w:rFonts w:hint="eastAsia" w:ascii="楷体" w:hAnsi="楷体" w:eastAsia="楷体" w:cs="宋体"/>
                <w:color w:val="333333"/>
                <w:szCs w:val="21"/>
              </w:rPr>
              <w:t>6.属于四类过程性信息</w:t>
            </w:r>
          </w:p>
        </w:tc>
        <w:tc>
          <w:tcPr>
            <w:tcW w:w="8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宋体" w:cs="Times New Roman"/>
                <w:color w:val="333333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333333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7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宋体" w:cs="Times New Roman"/>
                <w:color w:val="333333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333333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7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宋体" w:cs="Times New Roman"/>
                <w:color w:val="333333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333333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8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宋体" w:cs="Times New Roman"/>
                <w:color w:val="333333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333333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9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宋体" w:cs="Times New Roman"/>
                <w:color w:val="333333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333333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7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宋体" w:cs="Times New Roman"/>
                <w:color w:val="333333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333333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70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宋体" w:cs="Times New Roman"/>
                <w:color w:val="333333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333333"/>
                <w:kern w:val="0"/>
                <w:szCs w:val="21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47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333333"/>
                <w:kern w:val="0"/>
                <w:szCs w:val="21"/>
              </w:rPr>
            </w:pPr>
          </w:p>
        </w:tc>
        <w:tc>
          <w:tcPr>
            <w:tcW w:w="2985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333333"/>
                <w:kern w:val="0"/>
                <w:szCs w:val="21"/>
              </w:rPr>
            </w:pPr>
          </w:p>
        </w:tc>
        <w:tc>
          <w:tcPr>
            <w:tcW w:w="21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333333"/>
                <w:kern w:val="0"/>
                <w:szCs w:val="21"/>
              </w:rPr>
            </w:pPr>
            <w:r>
              <w:rPr>
                <w:rFonts w:hint="eastAsia" w:ascii="楷体" w:hAnsi="楷体" w:eastAsia="楷体" w:cs="宋体"/>
                <w:color w:val="333333"/>
                <w:szCs w:val="21"/>
              </w:rPr>
              <w:t>7.属于行政执法案卷</w:t>
            </w:r>
          </w:p>
        </w:tc>
        <w:tc>
          <w:tcPr>
            <w:tcW w:w="8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宋体" w:cs="Times New Roman"/>
                <w:color w:val="333333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333333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7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宋体" w:cs="Times New Roman"/>
                <w:color w:val="333333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333333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7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宋体" w:cs="Times New Roman"/>
                <w:color w:val="333333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333333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8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宋体" w:cs="Times New Roman"/>
                <w:color w:val="333333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333333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9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宋体" w:cs="Times New Roman"/>
                <w:color w:val="333333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333333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7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宋体" w:cs="Times New Roman"/>
                <w:color w:val="333333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333333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70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宋体" w:cs="Times New Roman"/>
                <w:color w:val="333333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333333"/>
                <w:kern w:val="0"/>
                <w:szCs w:val="21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4" w:hRule="atLeast"/>
          <w:jc w:val="center"/>
        </w:trPr>
        <w:tc>
          <w:tcPr>
            <w:tcW w:w="347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333333"/>
                <w:kern w:val="0"/>
                <w:szCs w:val="21"/>
              </w:rPr>
            </w:pPr>
          </w:p>
        </w:tc>
        <w:tc>
          <w:tcPr>
            <w:tcW w:w="2985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333333"/>
                <w:kern w:val="0"/>
                <w:szCs w:val="21"/>
              </w:rPr>
            </w:pPr>
          </w:p>
        </w:tc>
        <w:tc>
          <w:tcPr>
            <w:tcW w:w="21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333333"/>
                <w:kern w:val="0"/>
                <w:szCs w:val="21"/>
              </w:rPr>
            </w:pPr>
            <w:r>
              <w:rPr>
                <w:rFonts w:hint="eastAsia" w:ascii="楷体" w:hAnsi="楷体" w:eastAsia="楷体" w:cs="宋体"/>
                <w:color w:val="333333"/>
                <w:szCs w:val="21"/>
              </w:rPr>
              <w:t>8.属于行政查询事项</w:t>
            </w:r>
          </w:p>
        </w:tc>
        <w:tc>
          <w:tcPr>
            <w:tcW w:w="8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宋体" w:cs="Times New Roman"/>
                <w:color w:val="333333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333333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7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宋体" w:cs="Times New Roman"/>
                <w:color w:val="333333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333333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7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宋体" w:cs="Times New Roman"/>
                <w:color w:val="333333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333333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8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宋体" w:cs="Times New Roman"/>
                <w:color w:val="333333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333333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9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宋体" w:cs="Times New Roman"/>
                <w:color w:val="333333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333333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7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宋体" w:cs="Times New Roman"/>
                <w:color w:val="333333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333333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70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宋体" w:cs="Times New Roman"/>
                <w:color w:val="333333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333333"/>
                <w:kern w:val="0"/>
                <w:szCs w:val="21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47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333333"/>
                <w:kern w:val="0"/>
                <w:szCs w:val="21"/>
              </w:rPr>
            </w:pPr>
          </w:p>
        </w:tc>
        <w:tc>
          <w:tcPr>
            <w:tcW w:w="855" w:type="dxa"/>
            <w:vMerge w:val="restar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333333"/>
                <w:kern w:val="0"/>
                <w:szCs w:val="21"/>
              </w:rPr>
            </w:pPr>
            <w:r>
              <w:rPr>
                <w:rFonts w:hint="eastAsia" w:ascii="楷体" w:hAnsi="楷体" w:eastAsia="楷体" w:cs="宋体"/>
                <w:color w:val="333333"/>
                <w:szCs w:val="21"/>
              </w:rPr>
              <w:t>（四）无法提供</w:t>
            </w:r>
          </w:p>
        </w:tc>
        <w:tc>
          <w:tcPr>
            <w:tcW w:w="21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333333"/>
                <w:kern w:val="0"/>
                <w:szCs w:val="21"/>
              </w:rPr>
            </w:pPr>
            <w:r>
              <w:rPr>
                <w:rFonts w:hint="eastAsia" w:ascii="楷体" w:hAnsi="楷体" w:eastAsia="楷体" w:cs="宋体"/>
                <w:color w:val="333333"/>
                <w:szCs w:val="21"/>
              </w:rPr>
              <w:t>1.本机关不掌握相关政府信息</w:t>
            </w:r>
          </w:p>
        </w:tc>
        <w:tc>
          <w:tcPr>
            <w:tcW w:w="8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宋体" w:cs="Times New Roman"/>
                <w:color w:val="333333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333333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7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宋体" w:cs="Times New Roman"/>
                <w:color w:val="333333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333333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7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333333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333333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8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宋体" w:cs="Times New Roman"/>
                <w:color w:val="333333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333333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9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宋体" w:cs="Times New Roman"/>
                <w:color w:val="333333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333333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7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宋体" w:cs="Times New Roman"/>
                <w:color w:val="333333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333333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70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宋体" w:cs="Times New Roman"/>
                <w:color w:val="333333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333333"/>
                <w:kern w:val="0"/>
                <w:szCs w:val="21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47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333333"/>
                <w:kern w:val="0"/>
                <w:szCs w:val="21"/>
              </w:rPr>
            </w:pPr>
          </w:p>
        </w:tc>
        <w:tc>
          <w:tcPr>
            <w:tcW w:w="2985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333333"/>
                <w:kern w:val="0"/>
                <w:szCs w:val="21"/>
              </w:rPr>
            </w:pPr>
          </w:p>
        </w:tc>
        <w:tc>
          <w:tcPr>
            <w:tcW w:w="21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333333"/>
                <w:kern w:val="0"/>
                <w:szCs w:val="21"/>
              </w:rPr>
            </w:pPr>
            <w:r>
              <w:rPr>
                <w:rFonts w:hint="eastAsia" w:ascii="楷体" w:hAnsi="楷体" w:eastAsia="楷体" w:cs="宋体"/>
                <w:color w:val="333333"/>
                <w:szCs w:val="21"/>
              </w:rPr>
              <w:t>2.没有现成信息需要另行制作</w:t>
            </w:r>
          </w:p>
        </w:tc>
        <w:tc>
          <w:tcPr>
            <w:tcW w:w="8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宋体" w:cs="Times New Roman"/>
                <w:color w:val="333333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333333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7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宋体" w:cs="Times New Roman"/>
                <w:color w:val="333333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333333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7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宋体" w:cs="Times New Roman"/>
                <w:color w:val="333333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333333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8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宋体" w:cs="Times New Roman"/>
                <w:color w:val="333333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333333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9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宋体" w:cs="Times New Roman"/>
                <w:color w:val="333333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333333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7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宋体" w:cs="Times New Roman"/>
                <w:color w:val="333333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333333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70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宋体" w:cs="Times New Roman"/>
                <w:color w:val="333333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333333"/>
                <w:kern w:val="0"/>
                <w:szCs w:val="21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47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333333"/>
                <w:kern w:val="0"/>
                <w:szCs w:val="21"/>
              </w:rPr>
            </w:pPr>
          </w:p>
        </w:tc>
        <w:tc>
          <w:tcPr>
            <w:tcW w:w="2985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333333"/>
                <w:kern w:val="0"/>
                <w:szCs w:val="21"/>
              </w:rPr>
            </w:pPr>
          </w:p>
        </w:tc>
        <w:tc>
          <w:tcPr>
            <w:tcW w:w="21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333333"/>
                <w:kern w:val="0"/>
                <w:szCs w:val="21"/>
              </w:rPr>
            </w:pPr>
            <w:r>
              <w:rPr>
                <w:rFonts w:hint="eastAsia" w:ascii="楷体" w:hAnsi="楷体" w:eastAsia="楷体" w:cs="宋体"/>
                <w:color w:val="333333"/>
                <w:szCs w:val="21"/>
              </w:rPr>
              <w:t>3.补正后申请内容仍不明确</w:t>
            </w:r>
          </w:p>
        </w:tc>
        <w:tc>
          <w:tcPr>
            <w:tcW w:w="8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宋体" w:cs="Times New Roman"/>
                <w:color w:val="333333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333333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7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宋体" w:cs="Times New Roman"/>
                <w:color w:val="333333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333333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7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宋体" w:cs="Times New Roman"/>
                <w:color w:val="333333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333333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8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宋体" w:cs="Times New Roman"/>
                <w:color w:val="333333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333333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9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宋体" w:cs="Times New Roman"/>
                <w:color w:val="333333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333333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7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宋体" w:cs="Times New Roman"/>
                <w:color w:val="333333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333333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70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宋体" w:cs="Times New Roman"/>
                <w:color w:val="333333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333333"/>
                <w:kern w:val="0"/>
                <w:szCs w:val="21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47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333333"/>
                <w:kern w:val="0"/>
                <w:szCs w:val="21"/>
              </w:rPr>
            </w:pPr>
          </w:p>
        </w:tc>
        <w:tc>
          <w:tcPr>
            <w:tcW w:w="855" w:type="dxa"/>
            <w:vMerge w:val="restar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333333"/>
                <w:kern w:val="0"/>
                <w:szCs w:val="21"/>
              </w:rPr>
            </w:pPr>
            <w:r>
              <w:rPr>
                <w:rFonts w:hint="eastAsia" w:ascii="楷体" w:hAnsi="楷体" w:eastAsia="楷体" w:cs="宋体"/>
                <w:color w:val="333333"/>
                <w:szCs w:val="21"/>
              </w:rPr>
              <w:t>（五）不予处理</w:t>
            </w:r>
          </w:p>
        </w:tc>
        <w:tc>
          <w:tcPr>
            <w:tcW w:w="21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333333"/>
                <w:kern w:val="0"/>
                <w:szCs w:val="21"/>
              </w:rPr>
            </w:pPr>
            <w:r>
              <w:rPr>
                <w:rFonts w:hint="eastAsia" w:ascii="楷体" w:hAnsi="楷体" w:eastAsia="楷体" w:cs="宋体"/>
                <w:color w:val="333333"/>
                <w:szCs w:val="21"/>
              </w:rPr>
              <w:t>1.信访举报投诉类申请</w:t>
            </w:r>
          </w:p>
        </w:tc>
        <w:tc>
          <w:tcPr>
            <w:tcW w:w="8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宋体" w:cs="Times New Roman"/>
                <w:color w:val="333333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333333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7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宋体" w:cs="Times New Roman"/>
                <w:color w:val="333333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333333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7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宋体" w:cs="Times New Roman"/>
                <w:color w:val="333333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333333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8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宋体" w:cs="Times New Roman"/>
                <w:color w:val="333333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333333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9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宋体" w:cs="Times New Roman"/>
                <w:color w:val="333333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333333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7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宋体" w:cs="Times New Roman"/>
                <w:color w:val="333333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333333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70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宋体" w:cs="Times New Roman"/>
                <w:color w:val="333333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333333"/>
                <w:kern w:val="0"/>
                <w:szCs w:val="21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atLeast"/>
          <w:jc w:val="center"/>
        </w:trPr>
        <w:tc>
          <w:tcPr>
            <w:tcW w:w="347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333333"/>
                <w:kern w:val="0"/>
                <w:szCs w:val="21"/>
              </w:rPr>
            </w:pPr>
          </w:p>
        </w:tc>
        <w:tc>
          <w:tcPr>
            <w:tcW w:w="2985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333333"/>
                <w:kern w:val="0"/>
                <w:szCs w:val="21"/>
              </w:rPr>
            </w:pPr>
          </w:p>
        </w:tc>
        <w:tc>
          <w:tcPr>
            <w:tcW w:w="21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333333"/>
                <w:kern w:val="0"/>
                <w:szCs w:val="21"/>
              </w:rPr>
            </w:pPr>
            <w:r>
              <w:rPr>
                <w:rFonts w:hint="eastAsia" w:ascii="楷体" w:hAnsi="楷体" w:eastAsia="楷体" w:cs="宋体"/>
                <w:color w:val="333333"/>
                <w:szCs w:val="21"/>
              </w:rPr>
              <w:t>2.重复申请</w:t>
            </w:r>
          </w:p>
        </w:tc>
        <w:tc>
          <w:tcPr>
            <w:tcW w:w="8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宋体" w:cs="Times New Roman"/>
                <w:color w:val="333333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333333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7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宋体" w:cs="Times New Roman"/>
                <w:color w:val="333333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333333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7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宋体" w:cs="Times New Roman"/>
                <w:color w:val="333333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333333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8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宋体" w:cs="Times New Roman"/>
                <w:color w:val="333333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333333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9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宋体" w:cs="Times New Roman"/>
                <w:color w:val="333333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333333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7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宋体" w:cs="Times New Roman"/>
                <w:color w:val="333333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333333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70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宋体" w:cs="Times New Roman"/>
                <w:color w:val="333333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333333"/>
                <w:kern w:val="0"/>
                <w:szCs w:val="21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47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333333"/>
                <w:kern w:val="0"/>
                <w:szCs w:val="21"/>
              </w:rPr>
            </w:pPr>
          </w:p>
        </w:tc>
        <w:tc>
          <w:tcPr>
            <w:tcW w:w="2985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333333"/>
                <w:kern w:val="0"/>
                <w:szCs w:val="21"/>
              </w:rPr>
            </w:pPr>
          </w:p>
        </w:tc>
        <w:tc>
          <w:tcPr>
            <w:tcW w:w="21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333333"/>
                <w:kern w:val="0"/>
                <w:szCs w:val="21"/>
              </w:rPr>
            </w:pPr>
            <w:r>
              <w:rPr>
                <w:rFonts w:hint="eastAsia" w:ascii="楷体" w:hAnsi="楷体" w:eastAsia="楷体" w:cs="宋体"/>
                <w:color w:val="333333"/>
                <w:szCs w:val="21"/>
              </w:rPr>
              <w:t>3.要求提供公开出版物</w:t>
            </w:r>
          </w:p>
        </w:tc>
        <w:tc>
          <w:tcPr>
            <w:tcW w:w="8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宋体" w:cs="Times New Roman"/>
                <w:color w:val="333333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333333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7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宋体" w:cs="Times New Roman"/>
                <w:color w:val="333333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333333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7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宋体" w:cs="Times New Roman"/>
                <w:color w:val="333333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333333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8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宋体" w:cs="Times New Roman"/>
                <w:color w:val="333333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333333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9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宋体" w:cs="Times New Roman"/>
                <w:color w:val="333333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333333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7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宋体" w:cs="Times New Roman"/>
                <w:color w:val="333333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333333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70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宋体" w:cs="Times New Roman"/>
                <w:color w:val="333333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333333"/>
                <w:kern w:val="0"/>
                <w:szCs w:val="21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47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333333"/>
                <w:kern w:val="0"/>
                <w:szCs w:val="21"/>
              </w:rPr>
            </w:pPr>
          </w:p>
        </w:tc>
        <w:tc>
          <w:tcPr>
            <w:tcW w:w="2985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333333"/>
                <w:kern w:val="0"/>
                <w:szCs w:val="21"/>
              </w:rPr>
            </w:pPr>
          </w:p>
        </w:tc>
        <w:tc>
          <w:tcPr>
            <w:tcW w:w="21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333333"/>
                <w:kern w:val="0"/>
                <w:szCs w:val="21"/>
              </w:rPr>
            </w:pPr>
            <w:r>
              <w:rPr>
                <w:rFonts w:hint="eastAsia" w:ascii="楷体" w:hAnsi="楷体" w:eastAsia="楷体" w:cs="宋体"/>
                <w:color w:val="333333"/>
                <w:szCs w:val="21"/>
              </w:rPr>
              <w:t>4.无正当理由大量反复申请</w:t>
            </w:r>
          </w:p>
        </w:tc>
        <w:tc>
          <w:tcPr>
            <w:tcW w:w="8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宋体" w:cs="Times New Roman"/>
                <w:color w:val="333333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333333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7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宋体" w:cs="Times New Roman"/>
                <w:color w:val="333333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333333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7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宋体" w:cs="Times New Roman"/>
                <w:color w:val="333333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333333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8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宋体" w:cs="Times New Roman"/>
                <w:color w:val="333333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333333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9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宋体" w:cs="Times New Roman"/>
                <w:color w:val="333333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333333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7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宋体" w:cs="Times New Roman"/>
                <w:color w:val="333333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333333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70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宋体" w:cs="Times New Roman"/>
                <w:color w:val="333333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333333"/>
                <w:kern w:val="0"/>
                <w:szCs w:val="21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47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333333"/>
                <w:kern w:val="0"/>
                <w:szCs w:val="21"/>
              </w:rPr>
            </w:pPr>
          </w:p>
        </w:tc>
        <w:tc>
          <w:tcPr>
            <w:tcW w:w="2985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333333"/>
                <w:kern w:val="0"/>
                <w:szCs w:val="21"/>
              </w:rPr>
            </w:pPr>
          </w:p>
        </w:tc>
        <w:tc>
          <w:tcPr>
            <w:tcW w:w="21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333333"/>
                <w:kern w:val="0"/>
                <w:szCs w:val="21"/>
              </w:rPr>
            </w:pPr>
            <w:r>
              <w:rPr>
                <w:rFonts w:hint="eastAsia" w:ascii="楷体" w:hAnsi="楷体" w:eastAsia="楷体" w:cs="宋体"/>
                <w:color w:val="333333"/>
                <w:szCs w:val="21"/>
              </w:rPr>
              <w:t>5.要求行政机关确认或重新出具已获取信息</w:t>
            </w:r>
          </w:p>
        </w:tc>
        <w:tc>
          <w:tcPr>
            <w:tcW w:w="8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宋体" w:cs="Times New Roman"/>
                <w:color w:val="333333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333333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7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宋体" w:cs="Times New Roman"/>
                <w:color w:val="333333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333333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7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宋体" w:cs="Times New Roman"/>
                <w:color w:val="333333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333333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8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宋体" w:cs="Times New Roman"/>
                <w:color w:val="333333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333333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9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宋体" w:cs="Times New Roman"/>
                <w:color w:val="333333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333333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7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宋体" w:cs="Times New Roman"/>
                <w:color w:val="333333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333333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70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宋体" w:cs="Times New Roman"/>
                <w:color w:val="333333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333333"/>
                <w:kern w:val="0"/>
                <w:szCs w:val="21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47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333333"/>
                <w:kern w:val="0"/>
                <w:szCs w:val="21"/>
              </w:rPr>
            </w:pPr>
          </w:p>
        </w:tc>
        <w:tc>
          <w:tcPr>
            <w:tcW w:w="298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333333"/>
                <w:kern w:val="0"/>
                <w:szCs w:val="21"/>
              </w:rPr>
            </w:pPr>
            <w:r>
              <w:rPr>
                <w:rFonts w:hint="eastAsia" w:ascii="楷体" w:hAnsi="楷体" w:eastAsia="楷体" w:cs="宋体"/>
                <w:color w:val="333333"/>
                <w:szCs w:val="21"/>
              </w:rPr>
              <w:t>（六）其他处理</w:t>
            </w:r>
          </w:p>
        </w:tc>
        <w:tc>
          <w:tcPr>
            <w:tcW w:w="8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宋体" w:cs="Times New Roman"/>
                <w:color w:val="333333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333333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7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宋体" w:cs="Times New Roman"/>
                <w:color w:val="333333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333333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7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宋体" w:cs="Times New Roman"/>
                <w:color w:val="333333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333333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8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宋体" w:cs="Times New Roman"/>
                <w:color w:val="333333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333333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9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宋体" w:cs="Times New Roman"/>
                <w:color w:val="333333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333333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7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宋体" w:cs="Times New Roman"/>
                <w:color w:val="333333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333333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70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宋体" w:cs="Times New Roman"/>
                <w:color w:val="333333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333333"/>
                <w:kern w:val="0"/>
                <w:szCs w:val="21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47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333333"/>
                <w:kern w:val="0"/>
                <w:szCs w:val="21"/>
              </w:rPr>
            </w:pPr>
          </w:p>
        </w:tc>
        <w:tc>
          <w:tcPr>
            <w:tcW w:w="298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333333"/>
                <w:kern w:val="0"/>
                <w:szCs w:val="21"/>
              </w:rPr>
            </w:pPr>
            <w:r>
              <w:rPr>
                <w:rFonts w:hint="eastAsia" w:ascii="楷体" w:hAnsi="楷体" w:eastAsia="楷体" w:cs="宋体"/>
                <w:color w:val="333333"/>
                <w:szCs w:val="21"/>
              </w:rPr>
              <w:t>（七）总计</w:t>
            </w:r>
          </w:p>
        </w:tc>
        <w:tc>
          <w:tcPr>
            <w:tcW w:w="8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宋体" w:cs="Times New Roman"/>
                <w:color w:val="333333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333333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7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宋体" w:cs="Times New Roman"/>
                <w:color w:val="333333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333333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7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宋体" w:cs="Times New Roman"/>
                <w:color w:val="333333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333333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8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宋体" w:cs="Times New Roman"/>
                <w:color w:val="333333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333333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9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宋体" w:cs="Times New Roman"/>
                <w:color w:val="333333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333333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7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宋体" w:cs="Times New Roman"/>
                <w:color w:val="333333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333333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70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宋体" w:cs="Times New Roman"/>
                <w:color w:val="333333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333333"/>
                <w:kern w:val="0"/>
                <w:szCs w:val="21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47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333333"/>
                <w:kern w:val="0"/>
                <w:szCs w:val="21"/>
              </w:rPr>
            </w:pPr>
            <w:r>
              <w:rPr>
                <w:rFonts w:hint="eastAsia" w:ascii="Calibri" w:hAnsi="Calibri" w:eastAsia="宋体" w:cs="Times New Roman"/>
                <w:color w:val="333333"/>
                <w:szCs w:val="21"/>
              </w:rPr>
              <w:t>四、结转下年度继续办理</w:t>
            </w:r>
          </w:p>
        </w:tc>
        <w:tc>
          <w:tcPr>
            <w:tcW w:w="8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宋体" w:cs="Times New Roman"/>
                <w:color w:val="333333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333333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7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宋体" w:cs="Times New Roman"/>
                <w:color w:val="333333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333333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7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宋体" w:cs="Times New Roman"/>
                <w:color w:val="333333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333333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8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宋体" w:cs="Times New Roman"/>
                <w:color w:val="333333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333333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9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宋体" w:cs="Times New Roman"/>
                <w:color w:val="333333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333333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7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宋体" w:cs="Times New Roman"/>
                <w:color w:val="333333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333333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70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宋体" w:cs="Times New Roman"/>
                <w:color w:val="333333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333333"/>
                <w:kern w:val="0"/>
                <w:szCs w:val="21"/>
                <w:lang w:val="en-US" w:eastAsia="zh-CN"/>
              </w:rPr>
              <w:t>0</w:t>
            </w:r>
          </w:p>
        </w:tc>
      </w:tr>
    </w:tbl>
    <w:p>
      <w:pPr>
        <w:spacing w:line="560" w:lineRule="exact"/>
        <w:ind w:firstLine="640" w:firstLineChars="200"/>
        <w:rPr>
          <w:rFonts w:ascii="黑体" w:hAnsi="黑体" w:eastAsia="黑体"/>
          <w:sz w:val="32"/>
          <w:szCs w:val="32"/>
        </w:rPr>
        <w:sectPr>
          <w:pgSz w:w="11906" w:h="16838"/>
          <w:pgMar w:top="1134" w:right="1797" w:bottom="1134" w:left="1797" w:header="851" w:footer="992" w:gutter="0"/>
          <w:cols w:space="425" w:num="1"/>
          <w:docGrid w:type="linesAndChars" w:linePitch="312" w:charSpace="0"/>
        </w:sectPr>
      </w:pPr>
    </w:p>
    <w:p>
      <w:pPr>
        <w:spacing w:line="560" w:lineRule="exact"/>
        <w:ind w:firstLine="640" w:firstLineChars="200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四、政府信息公开行政复议、行政诉讼情况</w:t>
      </w:r>
    </w:p>
    <w:tbl>
      <w:tblPr>
        <w:tblStyle w:val="8"/>
        <w:tblW w:w="1005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1"/>
        <w:gridCol w:w="707"/>
        <w:gridCol w:w="707"/>
        <w:gridCol w:w="707"/>
        <w:gridCol w:w="566"/>
        <w:gridCol w:w="707"/>
        <w:gridCol w:w="706"/>
        <w:gridCol w:w="755"/>
        <w:gridCol w:w="659"/>
        <w:gridCol w:w="548"/>
        <w:gridCol w:w="725"/>
        <w:gridCol w:w="699"/>
        <w:gridCol w:w="714"/>
        <w:gridCol w:w="708"/>
        <w:gridCol w:w="41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42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80" w:line="480" w:lineRule="auto"/>
              <w:jc w:val="center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Calibri" w:hAnsi="Calibri" w:eastAsia="宋体" w:cs="Times New Roman"/>
                <w:color w:val="333333"/>
                <w:sz w:val="20"/>
                <w:szCs w:val="20"/>
              </w:rPr>
              <w:t>行政复议</w:t>
            </w:r>
          </w:p>
        </w:tc>
        <w:tc>
          <w:tcPr>
            <w:tcW w:w="6629" w:type="dxa"/>
            <w:gridSpan w:val="10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80" w:line="480" w:lineRule="auto"/>
              <w:jc w:val="center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Calibri" w:hAnsi="Calibri" w:eastAsia="宋体" w:cs="Times New Roman"/>
                <w:color w:val="333333"/>
                <w:sz w:val="20"/>
                <w:szCs w:val="20"/>
              </w:rPr>
              <w:t>行政诉讼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7" w:hRule="atLeast"/>
          <w:jc w:val="center"/>
        </w:trPr>
        <w:tc>
          <w:tcPr>
            <w:tcW w:w="733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Calibri" w:hAnsi="Calibri" w:eastAsia="宋体" w:cs="Times New Roman"/>
                <w:color w:val="333333"/>
                <w:sz w:val="20"/>
                <w:szCs w:val="20"/>
              </w:rPr>
            </w:pPr>
            <w:r>
              <w:rPr>
                <w:rFonts w:hint="eastAsia" w:ascii="Calibri" w:hAnsi="Calibri" w:eastAsia="宋体" w:cs="Times New Roman"/>
                <w:color w:val="333333"/>
                <w:sz w:val="20"/>
                <w:szCs w:val="20"/>
              </w:rPr>
              <w:t>结果</w:t>
            </w:r>
          </w:p>
          <w:p>
            <w:pPr>
              <w:widowControl/>
              <w:jc w:val="center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Calibri" w:hAnsi="Calibri" w:eastAsia="宋体" w:cs="Times New Roman"/>
                <w:color w:val="333333"/>
                <w:sz w:val="20"/>
                <w:szCs w:val="20"/>
              </w:rPr>
              <w:t>维持</w:t>
            </w:r>
          </w:p>
        </w:tc>
        <w:tc>
          <w:tcPr>
            <w:tcW w:w="709" w:type="dxa"/>
            <w:vMerge w:val="restar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Calibri" w:hAnsi="Calibri" w:eastAsia="宋体" w:cs="Times New Roman"/>
                <w:color w:val="333333"/>
                <w:sz w:val="20"/>
                <w:szCs w:val="20"/>
              </w:rPr>
              <w:t>结果纠正</w:t>
            </w:r>
          </w:p>
        </w:tc>
        <w:tc>
          <w:tcPr>
            <w:tcW w:w="709" w:type="dxa"/>
            <w:vMerge w:val="restar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Calibri" w:hAnsi="Calibri" w:eastAsia="宋体" w:cs="Times New Roman"/>
                <w:color w:val="333333"/>
                <w:sz w:val="20"/>
                <w:szCs w:val="20"/>
              </w:rPr>
              <w:t>其他结果</w:t>
            </w:r>
          </w:p>
        </w:tc>
        <w:tc>
          <w:tcPr>
            <w:tcW w:w="709" w:type="dxa"/>
            <w:vMerge w:val="restar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Calibri" w:hAnsi="Calibri" w:eastAsia="宋体" w:cs="Times New Roman"/>
                <w:color w:val="333333"/>
                <w:sz w:val="20"/>
                <w:szCs w:val="20"/>
              </w:rPr>
              <w:t>尚未审结</w:t>
            </w:r>
          </w:p>
        </w:tc>
        <w:tc>
          <w:tcPr>
            <w:tcW w:w="567" w:type="dxa"/>
            <w:vMerge w:val="restar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Calibri" w:hAnsi="Calibri" w:eastAsia="宋体" w:cs="Times New Roman"/>
                <w:color w:val="333333"/>
                <w:sz w:val="20"/>
                <w:szCs w:val="20"/>
              </w:rPr>
              <w:t>总计</w:t>
            </w:r>
          </w:p>
        </w:tc>
        <w:tc>
          <w:tcPr>
            <w:tcW w:w="3384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Calibri" w:hAnsi="Calibri" w:eastAsia="宋体" w:cs="Times New Roman"/>
                <w:color w:val="333333"/>
                <w:sz w:val="20"/>
                <w:szCs w:val="20"/>
              </w:rPr>
              <w:t>未经复议直接起诉</w:t>
            </w:r>
          </w:p>
        </w:tc>
        <w:tc>
          <w:tcPr>
            <w:tcW w:w="3245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Calibri" w:hAnsi="Calibri" w:eastAsia="宋体" w:cs="Times New Roman"/>
                <w:color w:val="333333"/>
                <w:sz w:val="20"/>
                <w:szCs w:val="20"/>
              </w:rPr>
              <w:t>复议后起诉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51" w:hRule="atLeast"/>
          <w:jc w:val="center"/>
        </w:trPr>
        <w:tc>
          <w:tcPr>
            <w:tcW w:w="73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567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Calibri" w:hAnsi="Calibri" w:eastAsia="宋体" w:cs="Times New Roman"/>
                <w:color w:val="333333"/>
                <w:sz w:val="20"/>
                <w:szCs w:val="20"/>
              </w:rPr>
              <w:t>结果维持</w:t>
            </w:r>
          </w:p>
        </w:tc>
        <w:tc>
          <w:tcPr>
            <w:tcW w:w="7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Calibri" w:hAnsi="Calibri" w:eastAsia="宋体" w:cs="Times New Roman"/>
                <w:color w:val="333333"/>
                <w:sz w:val="20"/>
                <w:szCs w:val="20"/>
              </w:rPr>
              <w:t>结果纠正</w:t>
            </w:r>
          </w:p>
        </w:tc>
        <w:tc>
          <w:tcPr>
            <w:tcW w:w="75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Calibri" w:hAnsi="Calibri" w:eastAsia="宋体" w:cs="Times New Roman"/>
                <w:color w:val="333333"/>
                <w:sz w:val="20"/>
                <w:szCs w:val="20"/>
              </w:rPr>
              <w:t>其他结果</w:t>
            </w:r>
          </w:p>
        </w:tc>
        <w:tc>
          <w:tcPr>
            <w:tcW w:w="6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Calibri" w:hAnsi="Calibri" w:eastAsia="宋体" w:cs="Times New Roman"/>
                <w:color w:val="333333"/>
                <w:sz w:val="20"/>
                <w:szCs w:val="20"/>
              </w:rPr>
              <w:t>尚未审结</w:t>
            </w:r>
          </w:p>
        </w:tc>
        <w:tc>
          <w:tcPr>
            <w:tcW w:w="54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总计</w:t>
            </w:r>
          </w:p>
        </w:tc>
        <w:tc>
          <w:tcPr>
            <w:tcW w:w="72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Calibri" w:hAnsi="Calibri" w:eastAsia="宋体" w:cs="Times New Roman"/>
                <w:color w:val="333333"/>
                <w:sz w:val="20"/>
                <w:szCs w:val="20"/>
              </w:rPr>
              <w:t>结果维持</w:t>
            </w:r>
          </w:p>
        </w:tc>
        <w:tc>
          <w:tcPr>
            <w:tcW w:w="7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Calibri" w:hAnsi="Calibri" w:eastAsia="宋体" w:cs="Times New Roman"/>
                <w:color w:val="333333"/>
                <w:sz w:val="20"/>
                <w:szCs w:val="20"/>
              </w:rPr>
              <w:t>结果纠正</w:t>
            </w:r>
          </w:p>
        </w:tc>
        <w:tc>
          <w:tcPr>
            <w:tcW w:w="7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其他结果</w:t>
            </w:r>
          </w:p>
        </w:tc>
        <w:tc>
          <w:tcPr>
            <w:tcW w:w="7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Calibri" w:hAnsi="Calibri" w:eastAsia="宋体" w:cs="Times New Roman"/>
                <w:color w:val="333333"/>
                <w:sz w:val="20"/>
                <w:szCs w:val="20"/>
              </w:rPr>
              <w:t>尚未审结</w:t>
            </w:r>
          </w:p>
        </w:tc>
        <w:tc>
          <w:tcPr>
            <w:tcW w:w="3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总计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2" w:hRule="atLeast"/>
          <w:jc w:val="center"/>
        </w:trPr>
        <w:tc>
          <w:tcPr>
            <w:tcW w:w="7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333333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333333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7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333333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333333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7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333333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333333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7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333333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333333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56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333333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333333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7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333333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333333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7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333333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333333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75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333333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333333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333333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333333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54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333333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333333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72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333333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333333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7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333333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333333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7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333333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333333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7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333333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333333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3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333333"/>
                <w:kern w:val="0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333333"/>
                <w:sz w:val="20"/>
                <w:szCs w:val="20"/>
                <w:lang w:val="en-US" w:eastAsia="zh-CN"/>
              </w:rPr>
              <w:t>0</w:t>
            </w:r>
          </w:p>
        </w:tc>
      </w:tr>
    </w:tbl>
    <w:p>
      <w:pPr>
        <w:spacing w:line="560" w:lineRule="exact"/>
        <w:ind w:firstLine="640" w:firstLineChars="200"/>
        <w:rPr>
          <w:rFonts w:ascii="黑体" w:hAnsi="黑体" w:eastAsia="黑体"/>
          <w:sz w:val="32"/>
          <w:szCs w:val="32"/>
        </w:rPr>
      </w:pPr>
    </w:p>
    <w:p>
      <w:pPr>
        <w:spacing w:line="560" w:lineRule="exact"/>
        <w:ind w:firstLine="640" w:firstLineChars="200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五、存在的主要问题及改进情况</w:t>
      </w:r>
    </w:p>
    <w:p>
      <w:pPr>
        <w:spacing w:line="560" w:lineRule="exact"/>
        <w:ind w:firstLine="640" w:firstLineChars="200"/>
        <w:rPr>
          <w:rFonts w:ascii="楷体_GB2312" w:hAnsi="黑体" w:eastAsia="楷体_GB2312"/>
          <w:sz w:val="32"/>
          <w:szCs w:val="32"/>
        </w:rPr>
      </w:pPr>
      <w:r>
        <w:rPr>
          <w:rFonts w:hint="eastAsia" w:ascii="楷体_GB2312" w:hAnsi="黑体" w:eastAsia="楷体_GB2312"/>
          <w:sz w:val="32"/>
          <w:szCs w:val="32"/>
        </w:rPr>
        <w:t>（一）主要问题</w:t>
      </w:r>
    </w:p>
    <w:p>
      <w:pPr>
        <w:spacing w:line="560" w:lineRule="exact"/>
        <w:ind w:firstLine="640" w:firstLineChars="200"/>
        <w:rPr>
          <w:rFonts w:hint="eastAsia" w:ascii="仿宋_GB2312" w:eastAsia="仿宋_GB2312"/>
          <w:sz w:val="32"/>
          <w:szCs w:val="32"/>
          <w:highlight w:val="none"/>
          <w:lang w:eastAsia="zh-CN"/>
        </w:rPr>
      </w:pPr>
      <w:r>
        <w:rPr>
          <w:rFonts w:hint="eastAsia" w:ascii="仿宋_GB2312" w:eastAsia="仿宋_GB2312"/>
          <w:sz w:val="32"/>
          <w:szCs w:val="32"/>
          <w:highlight w:val="none"/>
          <w:lang w:eastAsia="zh-CN"/>
        </w:rPr>
        <w:t>2019年,高青县投资促进中心政府信息公开工作进展顺利,公开力度加大,但是也还存在着一些问题:</w:t>
      </w:r>
    </w:p>
    <w:p>
      <w:pPr>
        <w:spacing w:line="560" w:lineRule="exact"/>
        <w:ind w:firstLine="640" w:firstLineChars="200"/>
        <w:rPr>
          <w:rFonts w:hint="eastAsia" w:ascii="仿宋_GB2312" w:eastAsia="仿宋_GB2312"/>
          <w:sz w:val="32"/>
          <w:szCs w:val="32"/>
          <w:highlight w:val="none"/>
          <w:lang w:eastAsia="zh-CN"/>
        </w:rPr>
      </w:pPr>
      <w:r>
        <w:rPr>
          <w:rFonts w:hint="eastAsia" w:ascii="仿宋_GB2312" w:eastAsia="仿宋_GB2312"/>
          <w:sz w:val="32"/>
          <w:szCs w:val="32"/>
          <w:highlight w:val="none"/>
          <w:lang w:eastAsia="zh-CN"/>
        </w:rPr>
        <w:t>一是主动公开政府信息意识不强,缺乏工作积极性和主动性;二是政策解读工作机制还需完善;三是政务公开的形式较为单一。</w:t>
      </w:r>
    </w:p>
    <w:p>
      <w:pPr>
        <w:spacing w:line="560" w:lineRule="exact"/>
        <w:ind w:firstLine="640" w:firstLineChars="200"/>
        <w:rPr>
          <w:rFonts w:ascii="楷体_GB2312" w:hAnsi="黑体" w:eastAsia="楷体_GB2312"/>
          <w:sz w:val="32"/>
          <w:szCs w:val="32"/>
        </w:rPr>
      </w:pPr>
      <w:r>
        <w:rPr>
          <w:rFonts w:hint="eastAsia" w:ascii="楷体_GB2312" w:hAnsi="黑体" w:eastAsia="楷体_GB2312"/>
          <w:sz w:val="32"/>
          <w:szCs w:val="32"/>
        </w:rPr>
        <w:t>（二）改进措施</w:t>
      </w:r>
    </w:p>
    <w:p>
      <w:pPr>
        <w:spacing w:line="560" w:lineRule="exact"/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2020年,高青县投资促进中心将加强以下工作,全力推动全市政府信息公开工作深入开展。</w:t>
      </w:r>
    </w:p>
    <w:p>
      <w:pPr>
        <w:spacing w:line="560" w:lineRule="exact"/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一是健全体制机制。我中心将进一步完善政务信息公开的相关制度,加强政务公开机构建设、人员配备和经费保障，明确工作承担科室，配齐配强工作人员，落实好《中华人民共和国政府信息公开条例》的相关规定。</w:t>
      </w:r>
    </w:p>
    <w:p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eastAsia="仿宋_GB2312"/>
          <w:sz w:val="32"/>
          <w:szCs w:val="32"/>
        </w:rPr>
        <w:t>二是坚持以公开为常态,不公开为例外,增强政府的公信力。</w:t>
      </w:r>
    </w:p>
    <w:p>
      <w:pPr>
        <w:spacing w:line="560" w:lineRule="exact"/>
        <w:ind w:firstLine="640" w:firstLineChars="200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六、其他需要报告的事项</w:t>
      </w:r>
    </w:p>
    <w:p>
      <w:pPr>
        <w:ind w:firstLine="640" w:firstLineChars="200"/>
      </w:pPr>
      <w:r>
        <w:rPr>
          <w:rFonts w:hint="eastAsia" w:ascii="仿宋_GB2312" w:eastAsia="仿宋_GB2312"/>
          <w:sz w:val="32"/>
          <w:szCs w:val="32"/>
          <w:lang w:eastAsia="zh-CN"/>
        </w:rPr>
        <w:t>无。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Verdana">
    <w:panose1 w:val="020B0604030504040204"/>
    <w:charset w:val="00"/>
    <w:family w:val="swiss"/>
    <w:pitch w:val="default"/>
    <w:sig w:usb0="A10006FF" w:usb1="4000205B" w:usb2="00000010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71FF"/>
    <w:rsid w:val="00003766"/>
    <w:rsid w:val="00011351"/>
    <w:rsid w:val="00033FFE"/>
    <w:rsid w:val="000406A0"/>
    <w:rsid w:val="00050F08"/>
    <w:rsid w:val="00067D0C"/>
    <w:rsid w:val="00097400"/>
    <w:rsid w:val="000B0330"/>
    <w:rsid w:val="000B0934"/>
    <w:rsid w:val="000E4BD9"/>
    <w:rsid w:val="000E69DA"/>
    <w:rsid w:val="000E6B32"/>
    <w:rsid w:val="000F2D8A"/>
    <w:rsid w:val="001010D4"/>
    <w:rsid w:val="00117B4D"/>
    <w:rsid w:val="00123B08"/>
    <w:rsid w:val="001245D4"/>
    <w:rsid w:val="00124A11"/>
    <w:rsid w:val="001366B4"/>
    <w:rsid w:val="00151924"/>
    <w:rsid w:val="00154708"/>
    <w:rsid w:val="00161940"/>
    <w:rsid w:val="00164480"/>
    <w:rsid w:val="0016467B"/>
    <w:rsid w:val="00186A62"/>
    <w:rsid w:val="001A6BB5"/>
    <w:rsid w:val="001B7C65"/>
    <w:rsid w:val="001E217A"/>
    <w:rsid w:val="001E5229"/>
    <w:rsid w:val="001E6FDD"/>
    <w:rsid w:val="00206BB2"/>
    <w:rsid w:val="00214DF2"/>
    <w:rsid w:val="00216242"/>
    <w:rsid w:val="00234030"/>
    <w:rsid w:val="00241314"/>
    <w:rsid w:val="00251CC7"/>
    <w:rsid w:val="00256608"/>
    <w:rsid w:val="00266C64"/>
    <w:rsid w:val="002710D2"/>
    <w:rsid w:val="00286935"/>
    <w:rsid w:val="0029082F"/>
    <w:rsid w:val="0029284C"/>
    <w:rsid w:val="0029383C"/>
    <w:rsid w:val="002942DD"/>
    <w:rsid w:val="002A7F25"/>
    <w:rsid w:val="002B5369"/>
    <w:rsid w:val="002D09A1"/>
    <w:rsid w:val="002E3859"/>
    <w:rsid w:val="00310B91"/>
    <w:rsid w:val="00317F8F"/>
    <w:rsid w:val="003336C5"/>
    <w:rsid w:val="003343A1"/>
    <w:rsid w:val="00342B75"/>
    <w:rsid w:val="00361769"/>
    <w:rsid w:val="003A551A"/>
    <w:rsid w:val="003B7614"/>
    <w:rsid w:val="003C1CCB"/>
    <w:rsid w:val="003C66CF"/>
    <w:rsid w:val="003D1317"/>
    <w:rsid w:val="003F3C5A"/>
    <w:rsid w:val="004020BC"/>
    <w:rsid w:val="00417E4F"/>
    <w:rsid w:val="00431DC0"/>
    <w:rsid w:val="0044469E"/>
    <w:rsid w:val="0044565B"/>
    <w:rsid w:val="004622B9"/>
    <w:rsid w:val="00465EE7"/>
    <w:rsid w:val="00474F8C"/>
    <w:rsid w:val="004A3770"/>
    <w:rsid w:val="004A61D9"/>
    <w:rsid w:val="004B1E38"/>
    <w:rsid w:val="004D692C"/>
    <w:rsid w:val="004F225D"/>
    <w:rsid w:val="00503DC2"/>
    <w:rsid w:val="00506018"/>
    <w:rsid w:val="0052384C"/>
    <w:rsid w:val="00530FAE"/>
    <w:rsid w:val="005357E0"/>
    <w:rsid w:val="00561095"/>
    <w:rsid w:val="00565E58"/>
    <w:rsid w:val="00572EE9"/>
    <w:rsid w:val="00575039"/>
    <w:rsid w:val="0058410F"/>
    <w:rsid w:val="005A2D30"/>
    <w:rsid w:val="005A679F"/>
    <w:rsid w:val="005A6855"/>
    <w:rsid w:val="005B2C9D"/>
    <w:rsid w:val="005B60B9"/>
    <w:rsid w:val="005C4E55"/>
    <w:rsid w:val="005C6267"/>
    <w:rsid w:val="005D2717"/>
    <w:rsid w:val="005E176C"/>
    <w:rsid w:val="006437E8"/>
    <w:rsid w:val="0067385D"/>
    <w:rsid w:val="00684540"/>
    <w:rsid w:val="00685243"/>
    <w:rsid w:val="00685FD6"/>
    <w:rsid w:val="0069145A"/>
    <w:rsid w:val="006A5602"/>
    <w:rsid w:val="006C1D61"/>
    <w:rsid w:val="006C61E3"/>
    <w:rsid w:val="006D2B9E"/>
    <w:rsid w:val="006F2052"/>
    <w:rsid w:val="006F32A9"/>
    <w:rsid w:val="0070575A"/>
    <w:rsid w:val="00706842"/>
    <w:rsid w:val="00707521"/>
    <w:rsid w:val="00710874"/>
    <w:rsid w:val="0072048C"/>
    <w:rsid w:val="00746ECD"/>
    <w:rsid w:val="00747284"/>
    <w:rsid w:val="0075282D"/>
    <w:rsid w:val="00754F25"/>
    <w:rsid w:val="00776012"/>
    <w:rsid w:val="0077715A"/>
    <w:rsid w:val="007D6C57"/>
    <w:rsid w:val="007E4180"/>
    <w:rsid w:val="00807CC0"/>
    <w:rsid w:val="00816B92"/>
    <w:rsid w:val="00825613"/>
    <w:rsid w:val="00835FA9"/>
    <w:rsid w:val="00852C30"/>
    <w:rsid w:val="00867D9F"/>
    <w:rsid w:val="0087437C"/>
    <w:rsid w:val="00874582"/>
    <w:rsid w:val="0087509A"/>
    <w:rsid w:val="00885D12"/>
    <w:rsid w:val="008A46AC"/>
    <w:rsid w:val="008D4B35"/>
    <w:rsid w:val="008D62E4"/>
    <w:rsid w:val="008E6862"/>
    <w:rsid w:val="008F0C7F"/>
    <w:rsid w:val="00902E17"/>
    <w:rsid w:val="00937389"/>
    <w:rsid w:val="00971010"/>
    <w:rsid w:val="0099580A"/>
    <w:rsid w:val="009C36DF"/>
    <w:rsid w:val="009D2A19"/>
    <w:rsid w:val="009D5915"/>
    <w:rsid w:val="009F4207"/>
    <w:rsid w:val="009F435B"/>
    <w:rsid w:val="009F4D5A"/>
    <w:rsid w:val="009F5FE5"/>
    <w:rsid w:val="009F6DCB"/>
    <w:rsid w:val="00A16507"/>
    <w:rsid w:val="00A304B2"/>
    <w:rsid w:val="00A427EB"/>
    <w:rsid w:val="00A52A9C"/>
    <w:rsid w:val="00A6389A"/>
    <w:rsid w:val="00A7136A"/>
    <w:rsid w:val="00A858D2"/>
    <w:rsid w:val="00A9750E"/>
    <w:rsid w:val="00AD32E2"/>
    <w:rsid w:val="00AD7912"/>
    <w:rsid w:val="00AE68F1"/>
    <w:rsid w:val="00AE6F46"/>
    <w:rsid w:val="00AF6C2E"/>
    <w:rsid w:val="00B0527D"/>
    <w:rsid w:val="00B10618"/>
    <w:rsid w:val="00B209C0"/>
    <w:rsid w:val="00B222E6"/>
    <w:rsid w:val="00B2447E"/>
    <w:rsid w:val="00B52FB0"/>
    <w:rsid w:val="00B6207B"/>
    <w:rsid w:val="00B70AA5"/>
    <w:rsid w:val="00B72BE8"/>
    <w:rsid w:val="00B905A0"/>
    <w:rsid w:val="00B95A40"/>
    <w:rsid w:val="00BA1D87"/>
    <w:rsid w:val="00BA408A"/>
    <w:rsid w:val="00BB0CB9"/>
    <w:rsid w:val="00BD15C4"/>
    <w:rsid w:val="00BE34C2"/>
    <w:rsid w:val="00BF33DF"/>
    <w:rsid w:val="00BF78AB"/>
    <w:rsid w:val="00C01B55"/>
    <w:rsid w:val="00C01FA7"/>
    <w:rsid w:val="00C0203D"/>
    <w:rsid w:val="00C24D73"/>
    <w:rsid w:val="00C421DB"/>
    <w:rsid w:val="00C53C40"/>
    <w:rsid w:val="00C615D5"/>
    <w:rsid w:val="00CB0401"/>
    <w:rsid w:val="00CB2F48"/>
    <w:rsid w:val="00CC6D06"/>
    <w:rsid w:val="00CF7A58"/>
    <w:rsid w:val="00D00DA1"/>
    <w:rsid w:val="00D11086"/>
    <w:rsid w:val="00D36A59"/>
    <w:rsid w:val="00D41DCE"/>
    <w:rsid w:val="00D47806"/>
    <w:rsid w:val="00D53DFE"/>
    <w:rsid w:val="00D601F0"/>
    <w:rsid w:val="00D628BA"/>
    <w:rsid w:val="00D72CD5"/>
    <w:rsid w:val="00D847D8"/>
    <w:rsid w:val="00DA5B47"/>
    <w:rsid w:val="00DB1A24"/>
    <w:rsid w:val="00DD1EFA"/>
    <w:rsid w:val="00DE0F65"/>
    <w:rsid w:val="00DE7653"/>
    <w:rsid w:val="00DF152D"/>
    <w:rsid w:val="00E0243C"/>
    <w:rsid w:val="00E2313C"/>
    <w:rsid w:val="00E271FF"/>
    <w:rsid w:val="00E44D4C"/>
    <w:rsid w:val="00E66D92"/>
    <w:rsid w:val="00E76CEC"/>
    <w:rsid w:val="00E8666D"/>
    <w:rsid w:val="00EA56A0"/>
    <w:rsid w:val="00EC4878"/>
    <w:rsid w:val="00F07DF7"/>
    <w:rsid w:val="00F227DD"/>
    <w:rsid w:val="00F241FE"/>
    <w:rsid w:val="00F250FA"/>
    <w:rsid w:val="00F33CEA"/>
    <w:rsid w:val="00F43078"/>
    <w:rsid w:val="00F53375"/>
    <w:rsid w:val="00F63D59"/>
    <w:rsid w:val="00F7222E"/>
    <w:rsid w:val="00F81217"/>
    <w:rsid w:val="00F814B8"/>
    <w:rsid w:val="00F84A56"/>
    <w:rsid w:val="00F85382"/>
    <w:rsid w:val="00F85A95"/>
    <w:rsid w:val="00F86849"/>
    <w:rsid w:val="00F97C97"/>
    <w:rsid w:val="00FD6BCF"/>
    <w:rsid w:val="00FE7C2B"/>
    <w:rsid w:val="01D925B5"/>
    <w:rsid w:val="03426AC5"/>
    <w:rsid w:val="04FC2312"/>
    <w:rsid w:val="07F6478A"/>
    <w:rsid w:val="0C120EEC"/>
    <w:rsid w:val="0E5358DE"/>
    <w:rsid w:val="12D2381B"/>
    <w:rsid w:val="13720461"/>
    <w:rsid w:val="146414DF"/>
    <w:rsid w:val="157E6255"/>
    <w:rsid w:val="16477A2F"/>
    <w:rsid w:val="16797AAD"/>
    <w:rsid w:val="17D4516F"/>
    <w:rsid w:val="180D57C8"/>
    <w:rsid w:val="1A4C013A"/>
    <w:rsid w:val="1A902EFB"/>
    <w:rsid w:val="1B835D86"/>
    <w:rsid w:val="1C326C17"/>
    <w:rsid w:val="1DAE1A64"/>
    <w:rsid w:val="1DD900D5"/>
    <w:rsid w:val="1EFE3400"/>
    <w:rsid w:val="1F5A7A39"/>
    <w:rsid w:val="1F8C3B2B"/>
    <w:rsid w:val="1FA1110D"/>
    <w:rsid w:val="207D6D02"/>
    <w:rsid w:val="2124375F"/>
    <w:rsid w:val="21B77945"/>
    <w:rsid w:val="23480D0D"/>
    <w:rsid w:val="26544EA1"/>
    <w:rsid w:val="27DF61A1"/>
    <w:rsid w:val="28CB606D"/>
    <w:rsid w:val="2F490045"/>
    <w:rsid w:val="30DE50B3"/>
    <w:rsid w:val="33A05787"/>
    <w:rsid w:val="343D3004"/>
    <w:rsid w:val="349877E3"/>
    <w:rsid w:val="358A3C47"/>
    <w:rsid w:val="35CF131B"/>
    <w:rsid w:val="37362F44"/>
    <w:rsid w:val="39AE03AC"/>
    <w:rsid w:val="3B754C46"/>
    <w:rsid w:val="3BC00F09"/>
    <w:rsid w:val="4025531A"/>
    <w:rsid w:val="41272EFA"/>
    <w:rsid w:val="42AA720C"/>
    <w:rsid w:val="444B6115"/>
    <w:rsid w:val="45241FDF"/>
    <w:rsid w:val="486D7AFC"/>
    <w:rsid w:val="48F73EEC"/>
    <w:rsid w:val="4DE4028D"/>
    <w:rsid w:val="4E835E46"/>
    <w:rsid w:val="51207C66"/>
    <w:rsid w:val="5198320A"/>
    <w:rsid w:val="51B66330"/>
    <w:rsid w:val="51BE2180"/>
    <w:rsid w:val="53097538"/>
    <w:rsid w:val="544972A9"/>
    <w:rsid w:val="553E5DB8"/>
    <w:rsid w:val="56E16D35"/>
    <w:rsid w:val="589D3D87"/>
    <w:rsid w:val="59386115"/>
    <w:rsid w:val="5A253CD6"/>
    <w:rsid w:val="5B8E360D"/>
    <w:rsid w:val="5CB85BCF"/>
    <w:rsid w:val="5D9E6D4B"/>
    <w:rsid w:val="5E010972"/>
    <w:rsid w:val="5F1A03CD"/>
    <w:rsid w:val="643C7208"/>
    <w:rsid w:val="64886EAD"/>
    <w:rsid w:val="696F716B"/>
    <w:rsid w:val="6AD76763"/>
    <w:rsid w:val="6B5668D1"/>
    <w:rsid w:val="6E1624CE"/>
    <w:rsid w:val="6ECA7C69"/>
    <w:rsid w:val="6FB42E66"/>
    <w:rsid w:val="71761D24"/>
    <w:rsid w:val="72185480"/>
    <w:rsid w:val="7361083D"/>
    <w:rsid w:val="74110C79"/>
    <w:rsid w:val="742640E2"/>
    <w:rsid w:val="756373BF"/>
    <w:rsid w:val="756C4A7C"/>
    <w:rsid w:val="75DE1B95"/>
    <w:rsid w:val="78D05A72"/>
    <w:rsid w:val="78D66F33"/>
    <w:rsid w:val="78F13D28"/>
    <w:rsid w:val="7A126B0A"/>
    <w:rsid w:val="7AD33DEA"/>
    <w:rsid w:val="7D4B66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semiHidden="0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qFormat="1" w:uiPriority="99" w:name="FollowedHyperlink"/>
    <w:lsdException w:qFormat="1" w:unhideWhenUsed="0" w:uiPriority="0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14"/>
    <w:qFormat/>
    <w:uiPriority w:val="9"/>
    <w:pPr>
      <w:widowControl/>
      <w:spacing w:before="100" w:beforeAutospacing="1" w:after="100" w:afterAutospacing="1"/>
      <w:jc w:val="left"/>
      <w:outlineLvl w:val="0"/>
    </w:pPr>
    <w:rPr>
      <w:rFonts w:ascii="宋体" w:hAnsi="宋体" w:eastAsia="宋体" w:cs="宋体"/>
      <w:b/>
      <w:bCs/>
      <w:kern w:val="36"/>
      <w:sz w:val="48"/>
      <w:szCs w:val="48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text"/>
    <w:unhideWhenUsed/>
    <w:qFormat/>
    <w:uiPriority w:val="99"/>
    <w:pPr>
      <w:widowControl w:val="0"/>
      <w:jc w:val="left"/>
    </w:pPr>
    <w:rPr>
      <w:rFonts w:asciiTheme="minorHAnsi" w:hAnsiTheme="minorHAnsi" w:eastAsiaTheme="minorEastAsia" w:cstheme="minorBidi"/>
      <w:b/>
      <w:color w:val="FF0000"/>
      <w:kern w:val="2"/>
      <w:sz w:val="21"/>
      <w:szCs w:val="21"/>
      <w:lang w:val="en-US" w:eastAsia="zh-CN" w:bidi="ar-SA"/>
    </w:rPr>
  </w:style>
  <w:style w:type="paragraph" w:styleId="4">
    <w:name w:val="Balloon Text"/>
    <w:basedOn w:val="1"/>
    <w:link w:val="13"/>
    <w:semiHidden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6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5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10">
    <w:name w:val="Strong"/>
    <w:qFormat/>
    <w:uiPriority w:val="0"/>
    <w:rPr>
      <w:rFonts w:ascii="Verdana" w:hAnsi="Verdana" w:eastAsia="仿宋_GB2312" w:cs="Verdana"/>
      <w:b/>
      <w:bCs/>
      <w:kern w:val="0"/>
      <w:sz w:val="28"/>
      <w:szCs w:val="28"/>
      <w:lang w:eastAsia="en-US"/>
    </w:rPr>
  </w:style>
  <w:style w:type="character" w:styleId="11">
    <w:name w:val="FollowedHyperlink"/>
    <w:basedOn w:val="9"/>
    <w:semiHidden/>
    <w:unhideWhenUsed/>
    <w:qFormat/>
    <w:uiPriority w:val="99"/>
    <w:rPr>
      <w:rFonts w:ascii="微软雅黑" w:hAnsi="微软雅黑" w:eastAsia="微软雅黑" w:cs="微软雅黑"/>
      <w:color w:val="333333"/>
      <w:u w:val="none"/>
    </w:rPr>
  </w:style>
  <w:style w:type="character" w:styleId="12">
    <w:name w:val="Hyperlink"/>
    <w:basedOn w:val="9"/>
    <w:semiHidden/>
    <w:unhideWhenUsed/>
    <w:qFormat/>
    <w:uiPriority w:val="99"/>
    <w:rPr>
      <w:rFonts w:hint="eastAsia" w:ascii="微软雅黑" w:hAnsi="微软雅黑" w:eastAsia="微软雅黑" w:cs="微软雅黑"/>
      <w:color w:val="333333"/>
      <w:u w:val="none"/>
    </w:rPr>
  </w:style>
  <w:style w:type="character" w:customStyle="1" w:styleId="13">
    <w:name w:val="批注框文本 Char"/>
    <w:basedOn w:val="9"/>
    <w:link w:val="4"/>
    <w:semiHidden/>
    <w:qFormat/>
    <w:uiPriority w:val="99"/>
    <w:rPr>
      <w:sz w:val="18"/>
      <w:szCs w:val="18"/>
    </w:rPr>
  </w:style>
  <w:style w:type="character" w:customStyle="1" w:styleId="14">
    <w:name w:val="标题 1 Char"/>
    <w:basedOn w:val="9"/>
    <w:link w:val="2"/>
    <w:qFormat/>
    <w:uiPriority w:val="9"/>
    <w:rPr>
      <w:rFonts w:ascii="宋体" w:hAnsi="宋体" w:eastAsia="宋体" w:cs="宋体"/>
      <w:b/>
      <w:bCs/>
      <w:kern w:val="36"/>
      <w:sz w:val="48"/>
      <w:szCs w:val="48"/>
    </w:rPr>
  </w:style>
  <w:style w:type="character" w:customStyle="1" w:styleId="15">
    <w:name w:val="页眉 Char"/>
    <w:basedOn w:val="9"/>
    <w:link w:val="6"/>
    <w:qFormat/>
    <w:uiPriority w:val="99"/>
    <w:rPr>
      <w:sz w:val="18"/>
      <w:szCs w:val="18"/>
    </w:rPr>
  </w:style>
  <w:style w:type="character" w:customStyle="1" w:styleId="16">
    <w:name w:val="页脚 Char"/>
    <w:basedOn w:val="9"/>
    <w:link w:val="5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gq</Company>
  <Pages>5</Pages>
  <Words>280</Words>
  <Characters>1602</Characters>
  <Lines>13</Lines>
  <Paragraphs>3</Paragraphs>
  <TotalTime>22</TotalTime>
  <ScaleCrop>false</ScaleCrop>
  <LinksUpToDate>false</LinksUpToDate>
  <CharactersWithSpaces>1879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2021-01-08T09:26:00Z</dcterms:created>
  <dc:creator>lb</dc:creator>
  <cp:lastModifiedBy>Fan</cp:lastModifiedBy>
  <dcterms:modified xsi:type="dcterms:W3CDTF">2021-01-26T08:17:52Z</dcterms:modified>
  <cp:revision>184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