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D79" w:rsidRDefault="00DB0D79">
      <w:pPr>
        <w:spacing w:line="240" w:lineRule="auto"/>
        <w:ind w:firstLine="0"/>
        <w:rPr>
          <w:rFonts w:eastAsia="黑体"/>
        </w:rPr>
      </w:pPr>
    </w:p>
    <w:p w:rsidR="00DB0D79" w:rsidRDefault="00AC26BC">
      <w:pPr>
        <w:spacing w:line="560" w:lineRule="exact"/>
        <w:ind w:firstLine="0"/>
        <w:jc w:val="center"/>
        <w:rPr>
          <w:rFonts w:eastAsia="方正小标宋简体"/>
          <w:sz w:val="44"/>
          <w:szCs w:val="44"/>
        </w:rPr>
      </w:pPr>
      <w:r>
        <w:rPr>
          <w:rFonts w:eastAsia="方正小标宋简体"/>
          <w:sz w:val="44"/>
          <w:szCs w:val="44"/>
        </w:rPr>
        <w:t>高青县投资促进中心</w:t>
      </w:r>
    </w:p>
    <w:p w:rsidR="00DB0D79" w:rsidRDefault="00AC26BC">
      <w:pPr>
        <w:spacing w:line="560" w:lineRule="exact"/>
        <w:ind w:firstLine="0"/>
        <w:jc w:val="center"/>
        <w:rPr>
          <w:rFonts w:eastAsia="方正小标宋简体"/>
          <w:sz w:val="44"/>
          <w:szCs w:val="44"/>
        </w:rPr>
      </w:pPr>
      <w:r>
        <w:rPr>
          <w:rFonts w:eastAsia="方正小标宋简体"/>
          <w:sz w:val="44"/>
          <w:szCs w:val="44"/>
        </w:rPr>
        <w:t>2021</w:t>
      </w:r>
      <w:r>
        <w:rPr>
          <w:rFonts w:eastAsia="方正小标宋简体"/>
          <w:sz w:val="44"/>
          <w:szCs w:val="44"/>
        </w:rPr>
        <w:t>年政府信息公开工作年度报告</w:t>
      </w:r>
    </w:p>
    <w:p w:rsidR="00DB0D79" w:rsidRDefault="00DB0D79">
      <w:pPr>
        <w:spacing w:line="560" w:lineRule="exact"/>
        <w:ind w:firstLineChars="200" w:firstLine="640"/>
        <w:rPr>
          <w:rFonts w:eastAsia="仿宋_GB2312"/>
        </w:rPr>
      </w:pPr>
    </w:p>
    <w:p w:rsidR="00DB0D79" w:rsidRDefault="00AC26BC">
      <w:pPr>
        <w:spacing w:line="56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本报告根据《中华人民共和国政府信息公开条例》（国务院令第711号，以下简称《条例》）要求编制。报告全文</w:t>
      </w:r>
      <w:proofErr w:type="gramStart"/>
      <w:r>
        <w:rPr>
          <w:rFonts w:ascii="仿宋_GB2312" w:eastAsia="仿宋_GB2312" w:hAnsi="仿宋_GB2312" w:cs="仿宋_GB2312" w:hint="eastAsia"/>
          <w:color w:val="000000"/>
          <w:szCs w:val="32"/>
        </w:rPr>
        <w:t>分总体</w:t>
      </w:r>
      <w:proofErr w:type="gramEnd"/>
      <w:r>
        <w:rPr>
          <w:rFonts w:ascii="仿宋_GB2312" w:eastAsia="仿宋_GB2312" w:hAnsi="仿宋_GB2312" w:cs="仿宋_GB2312" w:hint="eastAsia"/>
          <w:color w:val="000000"/>
          <w:szCs w:val="32"/>
        </w:rPr>
        <w:t>情况、主动公开政府信息情况、收到和处理政府信息公开申请情况、政府信息公开行政复议行政诉讼情况、存在的主要问题及改进情况、其他需要报告的事项6个部分。</w:t>
      </w:r>
    </w:p>
    <w:p w:rsidR="00DB0D79" w:rsidRDefault="00AC26BC">
      <w:pPr>
        <w:spacing w:line="56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报告中所列数据统计期限自2021年1月1日始，至2021年12月31日止。报告电子版可在高青县人民政府门户网站（www.gaoqing.gov.cn）查阅和下载。如对报告内容有疑问，请与高青县投资促进中心综合科联系（地址：山东省淄博市高青县清河路9号；邮编：256300；电话：0533-6967699）。</w:t>
      </w:r>
    </w:p>
    <w:p w:rsidR="00DB0D79" w:rsidRDefault="00AC26BC">
      <w:pPr>
        <w:spacing w:line="560" w:lineRule="exact"/>
        <w:ind w:firstLineChars="200" w:firstLine="640"/>
        <w:rPr>
          <w:rFonts w:eastAsia="黑体"/>
          <w:szCs w:val="32"/>
        </w:rPr>
      </w:pPr>
      <w:r>
        <w:rPr>
          <w:rFonts w:eastAsia="黑体"/>
          <w:szCs w:val="32"/>
        </w:rPr>
        <w:t>一、总体情况</w:t>
      </w:r>
    </w:p>
    <w:p w:rsidR="00DB0D79" w:rsidRDefault="00AC26BC">
      <w:pPr>
        <w:spacing w:line="560" w:lineRule="exact"/>
        <w:ind w:firstLineChars="200" w:firstLine="640"/>
        <w:rPr>
          <w:rFonts w:eastAsia="楷体_GB2312"/>
          <w:szCs w:val="32"/>
        </w:rPr>
      </w:pPr>
      <w:r>
        <w:rPr>
          <w:rFonts w:eastAsia="楷体_GB2312"/>
          <w:szCs w:val="32"/>
        </w:rPr>
        <w:t>（一）主动公开</w:t>
      </w:r>
    </w:p>
    <w:p w:rsidR="00DB0D79" w:rsidRDefault="00AC26BC">
      <w:pPr>
        <w:spacing w:line="560" w:lineRule="exact"/>
        <w:ind w:firstLineChars="200" w:firstLine="640"/>
        <w:rPr>
          <w:rFonts w:eastAsia="仿宋_GB2312"/>
          <w:szCs w:val="32"/>
        </w:rPr>
      </w:pPr>
      <w:r>
        <w:rPr>
          <w:rFonts w:ascii="仿宋_GB2312" w:eastAsia="仿宋_GB2312" w:hAnsi="仿宋_GB2312" w:cs="仿宋_GB2312" w:hint="eastAsia"/>
          <w:color w:val="000000"/>
          <w:szCs w:val="32"/>
        </w:rPr>
        <w:t>2021年6月，为进一步推进政务公开工作，增强工作透明度，切实增强公开实效。根据《中华人民共和国政府信息公开条例》和县政府政务公开的工作要求，结合我中心实际工作，制定2021年度政务公开工作实施方案，在政务公开组织管理栏目公开。202</w:t>
      </w:r>
      <w:r>
        <w:rPr>
          <w:rFonts w:ascii="仿宋_GB2312" w:eastAsia="仿宋_GB2312" w:hAnsi="仿宋_GB2312" w:cs="仿宋_GB2312"/>
          <w:color w:val="000000"/>
          <w:szCs w:val="32"/>
        </w:rPr>
        <w:t>1</w:t>
      </w:r>
      <w:r>
        <w:rPr>
          <w:rFonts w:ascii="仿宋_GB2312" w:eastAsia="仿宋_GB2312" w:hAnsi="仿宋_GB2312" w:cs="仿宋_GB2312" w:hint="eastAsia"/>
          <w:color w:val="000000"/>
          <w:szCs w:val="32"/>
        </w:rPr>
        <w:t>年通过政府门户网站、</w:t>
      </w:r>
      <w:proofErr w:type="gramStart"/>
      <w:r>
        <w:rPr>
          <w:rFonts w:ascii="仿宋_GB2312" w:eastAsia="仿宋_GB2312" w:hAnsi="仿宋_GB2312" w:cs="仿宋_GB2312" w:hint="eastAsia"/>
          <w:color w:val="000000"/>
          <w:szCs w:val="32"/>
        </w:rPr>
        <w:t>微信公众号</w:t>
      </w:r>
      <w:proofErr w:type="gramEnd"/>
      <w:r>
        <w:rPr>
          <w:rFonts w:ascii="仿宋_GB2312" w:eastAsia="仿宋_GB2312" w:hAnsi="仿宋_GB2312" w:cs="仿宋_GB2312" w:hint="eastAsia"/>
          <w:color w:val="000000"/>
          <w:szCs w:val="32"/>
        </w:rPr>
        <w:t>等方式，主动公开信息1</w:t>
      </w:r>
      <w:r>
        <w:rPr>
          <w:rFonts w:ascii="仿宋_GB2312" w:eastAsia="仿宋_GB2312" w:hAnsi="仿宋_GB2312" w:cs="仿宋_GB2312"/>
          <w:color w:val="000000"/>
          <w:szCs w:val="32"/>
        </w:rPr>
        <w:t>20</w:t>
      </w:r>
      <w:r>
        <w:rPr>
          <w:rFonts w:ascii="仿宋_GB2312" w:eastAsia="仿宋_GB2312" w:hAnsi="仿宋_GB2312" w:cs="仿宋_GB2312" w:hint="eastAsia"/>
          <w:color w:val="000000"/>
          <w:szCs w:val="32"/>
        </w:rPr>
        <w:t>余条，</w:t>
      </w:r>
      <w:r>
        <w:rPr>
          <w:rFonts w:eastAsia="仿宋_GB2312"/>
          <w:szCs w:val="32"/>
        </w:rPr>
        <w:t>主动公开机构职能、领导分工、财政预决算、政府信息公开指南、政府信息公开年报及投资政策、招商项目等业务</w:t>
      </w:r>
      <w:r>
        <w:rPr>
          <w:rFonts w:eastAsia="仿宋_GB2312"/>
          <w:szCs w:val="32"/>
        </w:rPr>
        <w:lastRenderedPageBreak/>
        <w:t>工作执行情况，及时对依申请公开</w:t>
      </w:r>
      <w:proofErr w:type="gramStart"/>
      <w:r>
        <w:rPr>
          <w:rFonts w:eastAsia="仿宋_GB2312"/>
          <w:szCs w:val="32"/>
        </w:rPr>
        <w:t>作出</w:t>
      </w:r>
      <w:proofErr w:type="gramEnd"/>
      <w:r>
        <w:rPr>
          <w:rFonts w:eastAsia="仿宋_GB2312"/>
          <w:szCs w:val="32"/>
        </w:rPr>
        <w:t>规范答复。起草文件时坚持政策文件与解读材料同步组织、同步审签、同步部署，明确解读范围、明确解读主体、规范解读程序，加强政策解读，促进政策执行落地。</w:t>
      </w:r>
    </w:p>
    <w:p w:rsidR="00DB0D79" w:rsidRDefault="00AC26BC">
      <w:pPr>
        <w:spacing w:line="240" w:lineRule="auto"/>
        <w:ind w:firstLine="0"/>
        <w:rPr>
          <w:rFonts w:eastAsia="仿宋_GB2312"/>
          <w:szCs w:val="32"/>
        </w:rPr>
      </w:pPr>
      <w:r>
        <w:rPr>
          <w:rFonts w:eastAsia="仿宋_GB2312" w:hint="eastAsia"/>
          <w:noProof/>
          <w:szCs w:val="32"/>
        </w:rPr>
        <w:drawing>
          <wp:inline distT="0" distB="0" distL="114300" distR="114300">
            <wp:extent cx="5274310" cy="3512185"/>
            <wp:effectExtent l="0" t="0" r="254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8"/>
                    <a:stretch>
                      <a:fillRect/>
                    </a:stretch>
                  </pic:blipFill>
                  <pic:spPr>
                    <a:xfrm>
                      <a:off x="0" y="0"/>
                      <a:ext cx="5274310" cy="3512582"/>
                    </a:xfrm>
                    <a:prstGeom prst="rect">
                      <a:avLst/>
                    </a:prstGeom>
                  </pic:spPr>
                </pic:pic>
              </a:graphicData>
            </a:graphic>
          </wp:inline>
        </w:drawing>
      </w:r>
    </w:p>
    <w:p w:rsidR="00E8511E" w:rsidRDefault="00AC26BC" w:rsidP="00E8511E">
      <w:pPr>
        <w:spacing w:line="560" w:lineRule="exact"/>
        <w:ind w:firstLineChars="200" w:firstLine="640"/>
        <w:rPr>
          <w:rFonts w:eastAsia="楷体_GB2312" w:hint="eastAsia"/>
          <w:szCs w:val="32"/>
        </w:rPr>
      </w:pPr>
      <w:r>
        <w:rPr>
          <w:rFonts w:eastAsia="楷体_GB2312"/>
          <w:szCs w:val="32"/>
        </w:rPr>
        <w:t>（二）依申请公开</w:t>
      </w:r>
    </w:p>
    <w:p w:rsidR="00E8511E" w:rsidRPr="00955616" w:rsidRDefault="00E8511E" w:rsidP="00E8511E">
      <w:pPr>
        <w:spacing w:line="560" w:lineRule="exact"/>
        <w:ind w:firstLineChars="200" w:firstLine="640"/>
      </w:pPr>
      <w:r>
        <w:rPr>
          <w:rFonts w:ascii="仿宋_GB2312" w:eastAsia="仿宋_GB2312" w:hint="eastAsia"/>
          <w:szCs w:val="32"/>
        </w:rPr>
        <w:t>2021年未收到政府信息公开申请，上年度未结转政府信息公开申请，未因政府信息公开被申请行政复议、提起行政诉讼。</w:t>
      </w:r>
    </w:p>
    <w:p w:rsidR="00DB0D79" w:rsidRDefault="00AC26BC">
      <w:pPr>
        <w:spacing w:line="560" w:lineRule="exact"/>
        <w:ind w:firstLineChars="200" w:firstLine="640"/>
        <w:rPr>
          <w:rFonts w:eastAsia="楷体_GB2312"/>
          <w:szCs w:val="32"/>
        </w:rPr>
      </w:pPr>
      <w:r>
        <w:rPr>
          <w:rFonts w:eastAsia="楷体_GB2312"/>
          <w:szCs w:val="32"/>
        </w:rPr>
        <w:t>（三）政府信息管理</w:t>
      </w:r>
    </w:p>
    <w:p w:rsidR="00DB0D79" w:rsidRDefault="00AC26BC">
      <w:pPr>
        <w:spacing w:line="560" w:lineRule="exact"/>
        <w:ind w:firstLineChars="200" w:firstLine="640"/>
        <w:rPr>
          <w:rFonts w:eastAsia="仿宋_GB2312"/>
          <w:szCs w:val="32"/>
        </w:rPr>
      </w:pPr>
      <w:r>
        <w:rPr>
          <w:rFonts w:eastAsia="仿宋_GB2312"/>
          <w:szCs w:val="32"/>
        </w:rPr>
        <w:t>严格政府信息管理制度，对出台的政策文件进行动态管理，实时把控。一是执行信息发布审查制度，审查信息内容是否正确、公开事项范围是否准确等，保证信息发布的准确性、及时性、有效性；拟定公文时，根据文件内容及实效，明确公开属性及有效期。二是强化政府信息公开动态管理，</w:t>
      </w:r>
      <w:proofErr w:type="gramStart"/>
      <w:r>
        <w:rPr>
          <w:rFonts w:eastAsia="仿宋_GB2312"/>
          <w:szCs w:val="32"/>
        </w:rPr>
        <w:t>对之前</w:t>
      </w:r>
      <w:proofErr w:type="gramEnd"/>
      <w:r>
        <w:rPr>
          <w:rFonts w:eastAsia="仿宋_GB2312"/>
          <w:szCs w:val="32"/>
        </w:rPr>
        <w:t>发布的</w:t>
      </w:r>
      <w:r>
        <w:rPr>
          <w:rFonts w:eastAsia="仿宋_GB2312"/>
          <w:szCs w:val="32"/>
        </w:rPr>
        <w:lastRenderedPageBreak/>
        <w:t>文件、公开的信息进行调整，对实效到期、废止的文件及时清理，并在相关政务公开平台进行删除。</w:t>
      </w:r>
    </w:p>
    <w:p w:rsidR="00DB0D79" w:rsidRDefault="00AC26BC">
      <w:pPr>
        <w:spacing w:line="560" w:lineRule="exact"/>
        <w:ind w:firstLineChars="200" w:firstLine="640"/>
        <w:rPr>
          <w:rFonts w:eastAsia="楷体_GB2312"/>
          <w:szCs w:val="32"/>
        </w:rPr>
      </w:pPr>
      <w:r>
        <w:rPr>
          <w:rFonts w:eastAsia="楷体_GB2312"/>
          <w:szCs w:val="32"/>
        </w:rPr>
        <w:t>（四）政府信息公开平台建设</w:t>
      </w:r>
    </w:p>
    <w:p w:rsidR="00DB0D79" w:rsidRDefault="00AC26BC">
      <w:pPr>
        <w:spacing w:line="560" w:lineRule="exact"/>
        <w:ind w:firstLineChars="200" w:firstLine="640"/>
        <w:rPr>
          <w:rFonts w:ascii="仿宋_GB2312" w:eastAsia="仿宋_GB2312"/>
          <w:szCs w:val="32"/>
        </w:rPr>
      </w:pPr>
      <w:r>
        <w:rPr>
          <w:rFonts w:eastAsia="仿宋_GB2312"/>
          <w:szCs w:val="32"/>
        </w:rPr>
        <w:t>通过政府信息公开平台、</w:t>
      </w:r>
      <w:proofErr w:type="gramStart"/>
      <w:r>
        <w:rPr>
          <w:rFonts w:eastAsia="仿宋_GB2312"/>
          <w:szCs w:val="32"/>
        </w:rPr>
        <w:t>微信公众号</w:t>
      </w:r>
      <w:proofErr w:type="gramEnd"/>
      <w:r>
        <w:rPr>
          <w:rFonts w:eastAsia="仿宋_GB2312"/>
          <w:szCs w:val="32"/>
        </w:rPr>
        <w:t>等方式，不断加强政府信息公开平台建设，提升政务公开信息化水平。一是加强</w:t>
      </w:r>
      <w:r>
        <w:rPr>
          <w:rFonts w:eastAsia="仿宋_GB2312" w:hint="eastAsia"/>
          <w:szCs w:val="32"/>
        </w:rPr>
        <w:t>政府网站</w:t>
      </w:r>
      <w:r>
        <w:rPr>
          <w:rFonts w:eastAsia="仿宋_GB2312"/>
          <w:szCs w:val="32"/>
        </w:rPr>
        <w:t>信息公开平台信息更新及维护工作，及时发布政府信息。二是多渠道、多方式开展政务公开工作。通过</w:t>
      </w:r>
      <w:r>
        <w:rPr>
          <w:rFonts w:eastAsia="仿宋_GB2312"/>
          <w:szCs w:val="32"/>
        </w:rPr>
        <w:t>“</w:t>
      </w:r>
      <w:r>
        <w:rPr>
          <w:rFonts w:eastAsia="仿宋_GB2312"/>
          <w:szCs w:val="32"/>
        </w:rPr>
        <w:t>投资高青</w:t>
      </w:r>
      <w:r>
        <w:rPr>
          <w:rFonts w:eastAsia="仿宋_GB2312"/>
          <w:szCs w:val="32"/>
        </w:rPr>
        <w:t>”</w:t>
      </w:r>
      <w:proofErr w:type="gramStart"/>
      <w:r>
        <w:rPr>
          <w:rFonts w:eastAsia="仿宋_GB2312"/>
          <w:szCs w:val="32"/>
        </w:rPr>
        <w:t>微信公众号</w:t>
      </w:r>
      <w:proofErr w:type="gramEnd"/>
      <w:r>
        <w:rPr>
          <w:rFonts w:eastAsia="仿宋_GB2312"/>
          <w:szCs w:val="32"/>
        </w:rPr>
        <w:t>、广播电视、报刊等方式，及时更新项目信息和招商动态，方便企业了解招商引资的工作动态</w:t>
      </w:r>
      <w:r>
        <w:rPr>
          <w:rFonts w:eastAsia="仿宋_GB2312" w:hint="eastAsia"/>
          <w:szCs w:val="32"/>
        </w:rPr>
        <w:t>，</w:t>
      </w:r>
      <w:r>
        <w:rPr>
          <w:rFonts w:eastAsia="仿宋_GB2312"/>
          <w:szCs w:val="32"/>
        </w:rPr>
        <w:t>不断推动政务公开，强化政务服务。</w:t>
      </w:r>
      <w:r>
        <w:rPr>
          <w:rFonts w:ascii="仿宋_GB2312" w:eastAsia="仿宋_GB2312" w:hint="eastAsia"/>
          <w:szCs w:val="32"/>
        </w:rPr>
        <w:t>202</w:t>
      </w:r>
      <w:r>
        <w:rPr>
          <w:rFonts w:ascii="仿宋_GB2312" w:eastAsia="仿宋_GB2312"/>
          <w:szCs w:val="32"/>
        </w:rPr>
        <w:t>1</w:t>
      </w:r>
      <w:r>
        <w:rPr>
          <w:rFonts w:ascii="仿宋_GB2312" w:eastAsia="仿宋_GB2312" w:hint="eastAsia"/>
          <w:szCs w:val="32"/>
        </w:rPr>
        <w:t>年仅通过</w:t>
      </w:r>
      <w:proofErr w:type="gramStart"/>
      <w:r>
        <w:rPr>
          <w:rFonts w:ascii="仿宋_GB2312" w:eastAsia="仿宋_GB2312" w:hint="eastAsia"/>
          <w:szCs w:val="32"/>
        </w:rPr>
        <w:t>微信公众号对外</w:t>
      </w:r>
      <w:proofErr w:type="gramEnd"/>
      <w:r>
        <w:rPr>
          <w:rFonts w:ascii="仿宋_GB2312" w:eastAsia="仿宋_GB2312" w:hint="eastAsia"/>
          <w:szCs w:val="32"/>
        </w:rPr>
        <w:t>公开政府信息80余条。</w:t>
      </w:r>
    </w:p>
    <w:p w:rsidR="00DB0D79" w:rsidRDefault="00AC26BC">
      <w:pPr>
        <w:spacing w:line="240" w:lineRule="auto"/>
        <w:ind w:firstLineChars="200" w:firstLine="640"/>
        <w:jc w:val="center"/>
        <w:rPr>
          <w:rFonts w:ascii="楷体_GB2312" w:eastAsia="楷体_GB2312" w:hAnsi="黑体"/>
          <w:szCs w:val="32"/>
        </w:rPr>
      </w:pPr>
      <w:r>
        <w:rPr>
          <w:rFonts w:eastAsia="仿宋_GB2312"/>
          <w:noProof/>
          <w:szCs w:val="32"/>
        </w:rPr>
        <w:drawing>
          <wp:inline distT="0" distB="0" distL="114300" distR="114300">
            <wp:extent cx="2381885" cy="3619500"/>
            <wp:effectExtent l="0" t="0" r="0"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9"/>
                    <a:stretch>
                      <a:fillRect/>
                    </a:stretch>
                  </pic:blipFill>
                  <pic:spPr>
                    <a:xfrm>
                      <a:off x="0" y="0"/>
                      <a:ext cx="2385835" cy="3625055"/>
                    </a:xfrm>
                    <a:prstGeom prst="rect">
                      <a:avLst/>
                    </a:prstGeom>
                  </pic:spPr>
                </pic:pic>
              </a:graphicData>
            </a:graphic>
          </wp:inline>
        </w:drawing>
      </w:r>
    </w:p>
    <w:p w:rsidR="00DB0D79" w:rsidRDefault="00AC26BC">
      <w:pPr>
        <w:spacing w:line="560" w:lineRule="exact"/>
        <w:ind w:firstLineChars="200" w:firstLine="640"/>
        <w:rPr>
          <w:rFonts w:eastAsia="楷体_GB2312"/>
          <w:szCs w:val="32"/>
        </w:rPr>
      </w:pPr>
      <w:r>
        <w:rPr>
          <w:rFonts w:eastAsia="楷体_GB2312"/>
          <w:szCs w:val="32"/>
        </w:rPr>
        <w:t>（五）监督保障</w:t>
      </w:r>
    </w:p>
    <w:p w:rsidR="00DB0D79" w:rsidRDefault="00AC26BC">
      <w:pPr>
        <w:spacing w:line="56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调整政务公开工作领导小组，主要负责同志为组长，不断</w:t>
      </w:r>
      <w:r>
        <w:rPr>
          <w:rFonts w:ascii="仿宋_GB2312" w:eastAsia="仿宋_GB2312" w:hAnsi="仿宋_GB2312" w:cs="仿宋_GB2312" w:hint="eastAsia"/>
          <w:color w:val="000000"/>
          <w:szCs w:val="32"/>
        </w:rPr>
        <w:lastRenderedPageBreak/>
        <w:t>强化政务公开工作规范，健全完善领导体制和工作机制。领导小组办公室设在中心综合科，承担领导小组日常工作，负责推进全中心政务公开工作，承办领导小组交办的其他事项，综合科指定一名政务公开专职人员，负责本单位政务公开工作。召开了2021年政务公开工作培训会议，会上传达了市、县政务公开相关会议精神及主要内容，对新、旧政务公开平台日常运营、部门栏目维护、信息发布与审核等方面的操作流程及注意事项内容进行了重点培训。</w:t>
      </w: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DB0D79" w:rsidRDefault="00DB0D79">
      <w:pPr>
        <w:spacing w:line="600" w:lineRule="exact"/>
        <w:ind w:firstLine="0"/>
        <w:rPr>
          <w:rFonts w:eastAsia="黑体"/>
          <w:szCs w:val="32"/>
        </w:rPr>
      </w:pP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hint="eastAsia"/>
          <w:szCs w:val="32"/>
        </w:rPr>
      </w:pPr>
    </w:p>
    <w:p w:rsidR="00E8511E" w:rsidRDefault="00E8511E">
      <w:pPr>
        <w:spacing w:line="600" w:lineRule="exact"/>
        <w:ind w:firstLineChars="200" w:firstLine="640"/>
        <w:rPr>
          <w:rFonts w:eastAsia="黑体"/>
          <w:szCs w:val="32"/>
        </w:rPr>
      </w:pPr>
      <w:bookmarkStart w:id="0" w:name="_GoBack"/>
      <w:bookmarkEnd w:id="0"/>
    </w:p>
    <w:p w:rsidR="00DB0D79" w:rsidRDefault="00DB0D79">
      <w:pPr>
        <w:spacing w:line="600" w:lineRule="exact"/>
        <w:ind w:firstLineChars="200" w:firstLine="640"/>
        <w:rPr>
          <w:rFonts w:eastAsia="黑体"/>
          <w:szCs w:val="32"/>
        </w:rPr>
      </w:pPr>
    </w:p>
    <w:p w:rsidR="00DB0D79" w:rsidRDefault="00AC26BC">
      <w:pPr>
        <w:spacing w:line="600" w:lineRule="exact"/>
        <w:ind w:firstLineChars="200" w:firstLine="640"/>
        <w:rPr>
          <w:rFonts w:eastAsia="黑体"/>
          <w:szCs w:val="32"/>
        </w:rPr>
      </w:pPr>
      <w:r>
        <w:rPr>
          <w:rFonts w:eastAsia="黑体"/>
          <w:szCs w:val="32"/>
        </w:rPr>
        <w:lastRenderedPageBreak/>
        <w:t>二、主动公开政府信息情况</w:t>
      </w:r>
    </w:p>
    <w:tbl>
      <w:tblPr>
        <w:tblStyle w:val="a7"/>
        <w:tblW w:w="0" w:type="auto"/>
        <w:jc w:val="center"/>
        <w:tblLook w:val="04A0" w:firstRow="1" w:lastRow="0" w:firstColumn="1" w:lastColumn="0" w:noHBand="0" w:noVBand="1"/>
      </w:tblPr>
      <w:tblGrid>
        <w:gridCol w:w="2580"/>
        <w:gridCol w:w="2122"/>
        <w:gridCol w:w="2123"/>
        <w:gridCol w:w="2123"/>
      </w:tblGrid>
      <w:tr w:rsidR="00DB0D79">
        <w:trPr>
          <w:trHeight w:hRule="exact" w:val="567"/>
          <w:jc w:val="center"/>
        </w:trPr>
        <w:tc>
          <w:tcPr>
            <w:tcW w:w="8981" w:type="dxa"/>
            <w:gridSpan w:val="4"/>
            <w:vAlign w:val="center"/>
          </w:tcPr>
          <w:p w:rsidR="00DB0D79" w:rsidRDefault="00AC26BC">
            <w:pPr>
              <w:spacing w:line="240" w:lineRule="auto"/>
              <w:ind w:firstLine="0"/>
              <w:jc w:val="center"/>
              <w:rPr>
                <w:rFonts w:eastAsia="黑体"/>
                <w:sz w:val="20"/>
              </w:rPr>
            </w:pPr>
            <w:r>
              <w:rPr>
                <w:rFonts w:eastAsia="宋体"/>
                <w:snapToGrid/>
                <w:color w:val="000000"/>
                <w:sz w:val="20"/>
              </w:rPr>
              <w:t>第二十条第（一）项</w:t>
            </w:r>
          </w:p>
        </w:tc>
      </w:tr>
      <w:tr w:rsidR="00DB0D79">
        <w:trPr>
          <w:trHeight w:hRule="exact" w:val="567"/>
          <w:jc w:val="center"/>
        </w:trPr>
        <w:tc>
          <w:tcPr>
            <w:tcW w:w="2589" w:type="dxa"/>
            <w:vAlign w:val="center"/>
          </w:tcPr>
          <w:p w:rsidR="00DB0D79" w:rsidRDefault="00AC26BC">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rsidR="00DB0D79" w:rsidRDefault="00AC26BC">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rsidR="00DB0D79" w:rsidRDefault="00AC26BC">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rsidR="00DB0D79" w:rsidRDefault="00AC26BC">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rsidR="00DB0D79">
        <w:trPr>
          <w:trHeight w:hRule="exact" w:val="567"/>
          <w:jc w:val="center"/>
        </w:trPr>
        <w:tc>
          <w:tcPr>
            <w:tcW w:w="2589" w:type="dxa"/>
            <w:vAlign w:val="center"/>
          </w:tcPr>
          <w:p w:rsidR="00DB0D79" w:rsidRDefault="00AC26BC">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规章</w:t>
            </w:r>
          </w:p>
        </w:tc>
        <w:tc>
          <w:tcPr>
            <w:tcW w:w="2130" w:type="dxa"/>
            <w:vAlign w:val="center"/>
          </w:tcPr>
          <w:p w:rsidR="00DB0D79" w:rsidRDefault="00AC26BC">
            <w:pPr>
              <w:spacing w:line="240" w:lineRule="auto"/>
              <w:ind w:firstLine="0"/>
              <w:jc w:val="center"/>
              <w:rPr>
                <w:rFonts w:eastAsia="黑体"/>
                <w:sz w:val="20"/>
              </w:rPr>
            </w:pPr>
            <w:r>
              <w:rPr>
                <w:rFonts w:eastAsia="宋体"/>
                <w:color w:val="000000"/>
                <w:sz w:val="24"/>
                <w:szCs w:val="24"/>
              </w:rPr>
              <w:t>0</w:t>
            </w:r>
          </w:p>
        </w:tc>
        <w:tc>
          <w:tcPr>
            <w:tcW w:w="2131" w:type="dxa"/>
            <w:vAlign w:val="center"/>
          </w:tcPr>
          <w:p w:rsidR="00DB0D79" w:rsidRDefault="00AC26BC">
            <w:pPr>
              <w:spacing w:line="240" w:lineRule="auto"/>
              <w:ind w:firstLine="0"/>
              <w:jc w:val="center"/>
              <w:rPr>
                <w:rFonts w:eastAsia="黑体"/>
                <w:sz w:val="20"/>
              </w:rPr>
            </w:pPr>
            <w:r>
              <w:rPr>
                <w:rFonts w:eastAsia="宋体"/>
                <w:color w:val="000000"/>
                <w:sz w:val="24"/>
                <w:szCs w:val="24"/>
              </w:rPr>
              <w:t>0</w:t>
            </w:r>
          </w:p>
        </w:tc>
        <w:tc>
          <w:tcPr>
            <w:tcW w:w="2131" w:type="dxa"/>
            <w:vAlign w:val="center"/>
          </w:tcPr>
          <w:p w:rsidR="00DB0D79" w:rsidRDefault="00AC26BC">
            <w:pPr>
              <w:spacing w:line="240" w:lineRule="auto"/>
              <w:ind w:firstLine="0"/>
              <w:jc w:val="center"/>
              <w:rPr>
                <w:rFonts w:eastAsia="黑体"/>
                <w:sz w:val="20"/>
              </w:rPr>
            </w:pPr>
            <w:r>
              <w:rPr>
                <w:rFonts w:eastAsia="宋体"/>
                <w:color w:val="000000"/>
                <w:sz w:val="24"/>
                <w:szCs w:val="24"/>
              </w:rPr>
              <w:t>0</w:t>
            </w:r>
          </w:p>
        </w:tc>
      </w:tr>
      <w:tr w:rsidR="00DB0D79">
        <w:trPr>
          <w:trHeight w:hRule="exact" w:val="567"/>
          <w:jc w:val="center"/>
        </w:trPr>
        <w:tc>
          <w:tcPr>
            <w:tcW w:w="2589" w:type="dxa"/>
            <w:vAlign w:val="center"/>
          </w:tcPr>
          <w:p w:rsidR="00DB0D79" w:rsidRDefault="00AC26BC">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行政规范性文件</w:t>
            </w:r>
          </w:p>
        </w:tc>
        <w:tc>
          <w:tcPr>
            <w:tcW w:w="2130" w:type="dxa"/>
            <w:vAlign w:val="center"/>
          </w:tcPr>
          <w:p w:rsidR="00DB0D79" w:rsidRDefault="00AC26BC">
            <w:pPr>
              <w:spacing w:line="240" w:lineRule="auto"/>
              <w:ind w:firstLine="0"/>
              <w:jc w:val="center"/>
              <w:rPr>
                <w:rFonts w:eastAsia="黑体"/>
                <w:sz w:val="20"/>
              </w:rPr>
            </w:pPr>
            <w:r>
              <w:rPr>
                <w:rFonts w:eastAsia="宋体"/>
                <w:color w:val="333333"/>
                <w:sz w:val="24"/>
                <w:szCs w:val="24"/>
              </w:rPr>
              <w:t>0</w:t>
            </w:r>
          </w:p>
        </w:tc>
        <w:tc>
          <w:tcPr>
            <w:tcW w:w="2131" w:type="dxa"/>
            <w:vAlign w:val="center"/>
          </w:tcPr>
          <w:p w:rsidR="00DB0D79" w:rsidRDefault="00AC26BC">
            <w:pPr>
              <w:spacing w:line="240" w:lineRule="auto"/>
              <w:ind w:firstLine="0"/>
              <w:jc w:val="center"/>
              <w:rPr>
                <w:rFonts w:eastAsia="黑体"/>
                <w:sz w:val="20"/>
              </w:rPr>
            </w:pPr>
            <w:r>
              <w:rPr>
                <w:rFonts w:eastAsia="宋体"/>
                <w:color w:val="000000"/>
                <w:sz w:val="24"/>
                <w:szCs w:val="24"/>
              </w:rPr>
              <w:t>0</w:t>
            </w:r>
          </w:p>
        </w:tc>
        <w:tc>
          <w:tcPr>
            <w:tcW w:w="2131" w:type="dxa"/>
            <w:vAlign w:val="center"/>
          </w:tcPr>
          <w:p w:rsidR="00DB0D79" w:rsidRDefault="00AC26BC">
            <w:pPr>
              <w:spacing w:line="240" w:lineRule="auto"/>
              <w:ind w:firstLine="0"/>
              <w:jc w:val="center"/>
              <w:rPr>
                <w:rFonts w:eastAsia="黑体"/>
                <w:sz w:val="20"/>
              </w:rPr>
            </w:pPr>
            <w:r>
              <w:rPr>
                <w:rFonts w:eastAsia="宋体"/>
                <w:color w:val="000000"/>
                <w:sz w:val="24"/>
                <w:szCs w:val="24"/>
              </w:rPr>
              <w:t>0</w:t>
            </w:r>
          </w:p>
        </w:tc>
      </w:tr>
      <w:tr w:rsidR="00DB0D79">
        <w:trPr>
          <w:trHeight w:hRule="exact" w:val="567"/>
          <w:jc w:val="center"/>
        </w:trPr>
        <w:tc>
          <w:tcPr>
            <w:tcW w:w="8981" w:type="dxa"/>
            <w:gridSpan w:val="4"/>
            <w:vAlign w:val="center"/>
          </w:tcPr>
          <w:p w:rsidR="00DB0D79" w:rsidRDefault="00AC26BC">
            <w:pPr>
              <w:spacing w:line="240" w:lineRule="auto"/>
              <w:ind w:firstLine="0"/>
              <w:jc w:val="center"/>
              <w:rPr>
                <w:rFonts w:eastAsia="宋体"/>
                <w:snapToGrid/>
                <w:color w:val="000000"/>
                <w:sz w:val="20"/>
              </w:rPr>
            </w:pPr>
            <w:r>
              <w:rPr>
                <w:rFonts w:eastAsia="宋体"/>
                <w:snapToGrid/>
                <w:color w:val="000000"/>
                <w:sz w:val="20"/>
              </w:rPr>
              <w:t>第二十条第（五）项</w:t>
            </w:r>
          </w:p>
        </w:tc>
      </w:tr>
      <w:tr w:rsidR="00DB0D79">
        <w:trPr>
          <w:trHeight w:hRule="exact" w:val="567"/>
          <w:jc w:val="center"/>
        </w:trPr>
        <w:tc>
          <w:tcPr>
            <w:tcW w:w="2589" w:type="dxa"/>
            <w:vAlign w:val="center"/>
          </w:tcPr>
          <w:p w:rsidR="00DB0D79" w:rsidRDefault="00AC26BC">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DB0D79" w:rsidRDefault="00AC26BC">
            <w:pPr>
              <w:spacing w:line="240" w:lineRule="auto"/>
              <w:ind w:firstLine="0"/>
              <w:jc w:val="center"/>
              <w:rPr>
                <w:rFonts w:eastAsia="黑体"/>
                <w:sz w:val="20"/>
              </w:rPr>
            </w:pPr>
            <w:r>
              <w:rPr>
                <w:rFonts w:eastAsia="宋体"/>
                <w:snapToGrid/>
                <w:color w:val="000000"/>
                <w:sz w:val="20"/>
              </w:rPr>
              <w:t>本年处理决定数量</w:t>
            </w:r>
          </w:p>
        </w:tc>
      </w:tr>
      <w:tr w:rsidR="00DB0D79">
        <w:trPr>
          <w:trHeight w:hRule="exact" w:val="567"/>
          <w:jc w:val="center"/>
        </w:trPr>
        <w:tc>
          <w:tcPr>
            <w:tcW w:w="2589" w:type="dxa"/>
            <w:vAlign w:val="center"/>
          </w:tcPr>
          <w:p w:rsidR="00DB0D79" w:rsidRDefault="00AC26BC">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行政许可</w:t>
            </w:r>
          </w:p>
        </w:tc>
        <w:tc>
          <w:tcPr>
            <w:tcW w:w="6392" w:type="dxa"/>
            <w:gridSpan w:val="3"/>
            <w:vAlign w:val="center"/>
          </w:tcPr>
          <w:p w:rsidR="00DB0D79" w:rsidRDefault="00AC26BC">
            <w:pPr>
              <w:spacing w:line="240" w:lineRule="auto"/>
              <w:ind w:firstLine="0"/>
              <w:jc w:val="center"/>
              <w:rPr>
                <w:rFonts w:eastAsia="黑体"/>
                <w:sz w:val="20"/>
              </w:rPr>
            </w:pPr>
            <w:r>
              <w:rPr>
                <w:rFonts w:eastAsia="黑体"/>
                <w:sz w:val="20"/>
              </w:rPr>
              <w:t>0</w:t>
            </w:r>
          </w:p>
        </w:tc>
      </w:tr>
      <w:tr w:rsidR="00DB0D79">
        <w:trPr>
          <w:trHeight w:hRule="exact" w:val="567"/>
          <w:jc w:val="center"/>
        </w:trPr>
        <w:tc>
          <w:tcPr>
            <w:tcW w:w="8981" w:type="dxa"/>
            <w:gridSpan w:val="4"/>
            <w:vAlign w:val="center"/>
          </w:tcPr>
          <w:p w:rsidR="00DB0D79" w:rsidRDefault="00AC26BC">
            <w:pPr>
              <w:spacing w:line="240" w:lineRule="auto"/>
              <w:ind w:firstLine="0"/>
              <w:jc w:val="center"/>
              <w:rPr>
                <w:rFonts w:eastAsia="宋体"/>
                <w:snapToGrid/>
                <w:color w:val="000000"/>
                <w:sz w:val="20"/>
              </w:rPr>
            </w:pPr>
            <w:r>
              <w:rPr>
                <w:rFonts w:eastAsia="宋体"/>
                <w:snapToGrid/>
                <w:color w:val="000000"/>
                <w:sz w:val="20"/>
              </w:rPr>
              <w:t>第二十条第（六）项</w:t>
            </w:r>
          </w:p>
        </w:tc>
      </w:tr>
      <w:tr w:rsidR="00DB0D79">
        <w:trPr>
          <w:trHeight w:hRule="exact" w:val="567"/>
          <w:jc w:val="center"/>
        </w:trPr>
        <w:tc>
          <w:tcPr>
            <w:tcW w:w="2589" w:type="dxa"/>
            <w:vAlign w:val="center"/>
          </w:tcPr>
          <w:p w:rsidR="00DB0D79" w:rsidRDefault="00AC26BC">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DB0D79" w:rsidRDefault="00AC26BC">
            <w:pPr>
              <w:spacing w:line="240" w:lineRule="auto"/>
              <w:ind w:firstLine="0"/>
              <w:jc w:val="center"/>
              <w:rPr>
                <w:rFonts w:eastAsia="黑体"/>
                <w:sz w:val="20"/>
              </w:rPr>
            </w:pPr>
            <w:r>
              <w:rPr>
                <w:rFonts w:eastAsia="宋体"/>
                <w:snapToGrid/>
                <w:color w:val="000000"/>
                <w:sz w:val="20"/>
              </w:rPr>
              <w:t>本年处理决定数量</w:t>
            </w:r>
          </w:p>
        </w:tc>
      </w:tr>
      <w:tr w:rsidR="00DB0D79">
        <w:trPr>
          <w:trHeight w:hRule="exact" w:val="567"/>
          <w:jc w:val="center"/>
        </w:trPr>
        <w:tc>
          <w:tcPr>
            <w:tcW w:w="2589" w:type="dxa"/>
            <w:vAlign w:val="center"/>
          </w:tcPr>
          <w:p w:rsidR="00DB0D79" w:rsidRDefault="00AC26BC">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行政处罚</w:t>
            </w:r>
          </w:p>
        </w:tc>
        <w:tc>
          <w:tcPr>
            <w:tcW w:w="6392" w:type="dxa"/>
            <w:gridSpan w:val="3"/>
            <w:vAlign w:val="center"/>
          </w:tcPr>
          <w:p w:rsidR="00DB0D79" w:rsidRDefault="00AC26BC">
            <w:pPr>
              <w:spacing w:line="240" w:lineRule="auto"/>
              <w:ind w:firstLine="0"/>
              <w:jc w:val="center"/>
              <w:rPr>
                <w:rFonts w:eastAsia="黑体"/>
                <w:sz w:val="20"/>
              </w:rPr>
            </w:pPr>
            <w:r>
              <w:rPr>
                <w:rFonts w:eastAsia="黑体"/>
                <w:sz w:val="20"/>
              </w:rPr>
              <w:t>0</w:t>
            </w:r>
          </w:p>
        </w:tc>
      </w:tr>
      <w:tr w:rsidR="00DB0D79">
        <w:trPr>
          <w:trHeight w:hRule="exact" w:val="567"/>
          <w:jc w:val="center"/>
        </w:trPr>
        <w:tc>
          <w:tcPr>
            <w:tcW w:w="2589" w:type="dxa"/>
            <w:vAlign w:val="center"/>
          </w:tcPr>
          <w:p w:rsidR="00DB0D79" w:rsidRDefault="00AC26BC">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行政强制</w:t>
            </w:r>
          </w:p>
        </w:tc>
        <w:tc>
          <w:tcPr>
            <w:tcW w:w="6392" w:type="dxa"/>
            <w:gridSpan w:val="3"/>
            <w:vAlign w:val="center"/>
          </w:tcPr>
          <w:p w:rsidR="00DB0D79" w:rsidRDefault="00AC26BC">
            <w:pPr>
              <w:spacing w:line="240" w:lineRule="auto"/>
              <w:ind w:firstLine="0"/>
              <w:jc w:val="center"/>
              <w:rPr>
                <w:rFonts w:eastAsia="黑体"/>
                <w:sz w:val="20"/>
              </w:rPr>
            </w:pPr>
            <w:r>
              <w:rPr>
                <w:rFonts w:eastAsia="黑体"/>
                <w:sz w:val="20"/>
              </w:rPr>
              <w:t>0</w:t>
            </w:r>
          </w:p>
        </w:tc>
      </w:tr>
      <w:tr w:rsidR="00DB0D79">
        <w:trPr>
          <w:trHeight w:hRule="exact" w:val="567"/>
          <w:jc w:val="center"/>
        </w:trPr>
        <w:tc>
          <w:tcPr>
            <w:tcW w:w="8981" w:type="dxa"/>
            <w:gridSpan w:val="4"/>
            <w:vAlign w:val="center"/>
          </w:tcPr>
          <w:p w:rsidR="00DB0D79" w:rsidRDefault="00AC26BC">
            <w:pPr>
              <w:spacing w:line="240" w:lineRule="auto"/>
              <w:ind w:firstLine="0"/>
              <w:jc w:val="center"/>
              <w:rPr>
                <w:rFonts w:eastAsia="宋体"/>
                <w:snapToGrid/>
                <w:color w:val="000000"/>
                <w:sz w:val="20"/>
              </w:rPr>
            </w:pPr>
            <w:r>
              <w:rPr>
                <w:rFonts w:eastAsia="宋体"/>
                <w:snapToGrid/>
                <w:color w:val="000000"/>
                <w:sz w:val="20"/>
              </w:rPr>
              <w:t>第二十条第（八）项</w:t>
            </w:r>
          </w:p>
        </w:tc>
      </w:tr>
      <w:tr w:rsidR="00DB0D79">
        <w:trPr>
          <w:trHeight w:hRule="exact" w:val="567"/>
          <w:jc w:val="center"/>
        </w:trPr>
        <w:tc>
          <w:tcPr>
            <w:tcW w:w="2589" w:type="dxa"/>
            <w:vAlign w:val="center"/>
          </w:tcPr>
          <w:p w:rsidR="00DB0D79" w:rsidRDefault="00AC26BC">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rsidR="00DB0D79" w:rsidRDefault="00AC26BC">
            <w:pPr>
              <w:spacing w:line="240" w:lineRule="auto"/>
              <w:ind w:firstLine="0"/>
              <w:jc w:val="center"/>
              <w:rPr>
                <w:rFonts w:eastAsia="黑体"/>
                <w:sz w:val="20"/>
              </w:rPr>
            </w:pPr>
            <w:r>
              <w:rPr>
                <w:rFonts w:eastAsia="宋体"/>
                <w:snapToGrid/>
                <w:color w:val="000000"/>
                <w:sz w:val="20"/>
              </w:rPr>
              <w:t>本年收费金额（单位：万元）</w:t>
            </w:r>
          </w:p>
        </w:tc>
      </w:tr>
      <w:tr w:rsidR="00DB0D79">
        <w:trPr>
          <w:trHeight w:hRule="exact" w:val="567"/>
          <w:jc w:val="center"/>
        </w:trPr>
        <w:tc>
          <w:tcPr>
            <w:tcW w:w="2589" w:type="dxa"/>
            <w:vAlign w:val="center"/>
          </w:tcPr>
          <w:p w:rsidR="00DB0D79" w:rsidRDefault="00AC26BC">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行政事业性收费</w:t>
            </w:r>
          </w:p>
        </w:tc>
        <w:tc>
          <w:tcPr>
            <w:tcW w:w="6392" w:type="dxa"/>
            <w:gridSpan w:val="3"/>
            <w:vAlign w:val="center"/>
          </w:tcPr>
          <w:p w:rsidR="00DB0D79" w:rsidRDefault="00AC26BC">
            <w:pPr>
              <w:spacing w:line="240" w:lineRule="auto"/>
              <w:ind w:firstLine="0"/>
              <w:jc w:val="center"/>
              <w:rPr>
                <w:rFonts w:eastAsia="黑体"/>
                <w:sz w:val="20"/>
              </w:rPr>
            </w:pPr>
            <w:r>
              <w:rPr>
                <w:rFonts w:eastAsia="黑体"/>
                <w:sz w:val="20"/>
              </w:rPr>
              <w:t>0</w:t>
            </w:r>
          </w:p>
        </w:tc>
      </w:tr>
    </w:tbl>
    <w:p w:rsidR="00DB0D79" w:rsidRDefault="00DB0D79">
      <w:pPr>
        <w:spacing w:line="240" w:lineRule="auto"/>
        <w:ind w:firstLine="0"/>
        <w:rPr>
          <w:rFonts w:eastAsia="黑体"/>
          <w:sz w:val="30"/>
          <w:szCs w:val="30"/>
        </w:rPr>
      </w:pP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89514D" w:rsidRDefault="0089514D">
      <w:pPr>
        <w:spacing w:line="600" w:lineRule="exact"/>
        <w:ind w:firstLineChars="200" w:firstLine="640"/>
        <w:rPr>
          <w:rFonts w:eastAsia="黑体"/>
          <w:szCs w:val="32"/>
        </w:rPr>
      </w:pPr>
    </w:p>
    <w:p w:rsidR="00DB0D79" w:rsidRDefault="00DB0D79">
      <w:pPr>
        <w:spacing w:line="600" w:lineRule="exact"/>
        <w:ind w:firstLineChars="200" w:firstLine="640"/>
        <w:rPr>
          <w:rFonts w:eastAsia="黑体"/>
          <w:szCs w:val="32"/>
        </w:rPr>
      </w:pPr>
    </w:p>
    <w:p w:rsidR="00DB0D79" w:rsidRDefault="00AC26BC">
      <w:pPr>
        <w:spacing w:line="600" w:lineRule="exact"/>
        <w:ind w:firstLineChars="200" w:firstLine="640"/>
        <w:rPr>
          <w:rFonts w:eastAsia="黑体"/>
          <w:szCs w:val="32"/>
        </w:rPr>
      </w:pPr>
      <w:r>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DB0D79">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楷体"/>
                <w:snapToGrid/>
                <w:sz w:val="20"/>
              </w:rPr>
              <w:t>（本列数据的勾</w:t>
            </w:r>
            <w:proofErr w:type="gramStart"/>
            <w:r>
              <w:rPr>
                <w:rFonts w:eastAsia="楷体"/>
                <w:snapToGrid/>
                <w:sz w:val="20"/>
              </w:rPr>
              <w:t>稽</w:t>
            </w:r>
            <w:proofErr w:type="gramEnd"/>
            <w:r>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rsidR="00DB0D7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rsidR="00DB0D7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商业</w:t>
            </w:r>
          </w:p>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科研</w:t>
            </w:r>
          </w:p>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r>
      <w:tr w:rsidR="00DB0D7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危及</w:t>
            </w:r>
            <w:r>
              <w:rPr>
                <w:rFonts w:eastAsia="宋体"/>
                <w:snapToGrid/>
                <w:sz w:val="20"/>
              </w:rPr>
              <w:t>“</w:t>
            </w:r>
            <w:r>
              <w:rPr>
                <w:rFonts w:eastAsia="宋体"/>
                <w:snapToGrid/>
                <w:sz w:val="20"/>
              </w:rPr>
              <w:t>三安全</w:t>
            </w:r>
            <w:proofErr w:type="gramStart"/>
            <w:r>
              <w:rPr>
                <w:rFonts w:eastAsia="宋体"/>
                <w:snapToGrid/>
                <w:sz w:val="20"/>
              </w:rPr>
              <w:t>一</w:t>
            </w:r>
            <w:proofErr w:type="gramEnd"/>
            <w:r>
              <w:rPr>
                <w:rFonts w:eastAsia="宋体"/>
                <w:snapToGrid/>
                <w:sz w:val="20"/>
              </w:rPr>
              <w:t>稳定</w:t>
            </w:r>
            <w:r>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5.</w:t>
            </w:r>
            <w:r>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6.</w:t>
            </w:r>
            <w:r>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7.</w:t>
            </w:r>
            <w:r>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8.</w:t>
            </w:r>
            <w:r>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（五）</w:t>
            </w:r>
            <w:proofErr w:type="gramStart"/>
            <w:r>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trHeight w:val="614"/>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nil"/>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rPr>
                <w:rFonts w:eastAsia="宋体"/>
                <w:snapToGrid/>
                <w:sz w:val="24"/>
                <w:szCs w:val="24"/>
              </w:rPr>
            </w:pPr>
            <w:r>
              <w:rPr>
                <w:rFonts w:eastAsia="宋体"/>
                <w:snapToGrid/>
                <w:sz w:val="20"/>
              </w:rPr>
              <w:t>5.</w:t>
            </w:r>
            <w:r>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trHeight w:val="891"/>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rPr>
                <w:rFonts w:eastAsia="宋体"/>
                <w:snapToGrid/>
                <w:sz w:val="24"/>
                <w:szCs w:val="24"/>
              </w:rPr>
            </w:pPr>
            <w:r>
              <w:rPr>
                <w:rFonts w:eastAsia="宋体"/>
                <w:snapToGrid/>
                <w:sz w:val="20"/>
              </w:rPr>
              <w:t>1.</w:t>
            </w:r>
            <w:r>
              <w:rPr>
                <w:rFonts w:eastAsia="宋体"/>
                <w:snapToGrid/>
                <w:sz w:val="20"/>
              </w:rPr>
              <w:t>申请人无正当理由逾期</w:t>
            </w:r>
            <w:proofErr w:type="gramStart"/>
            <w:r>
              <w:rPr>
                <w:rFonts w:eastAsia="宋体"/>
                <w:snapToGrid/>
                <w:sz w:val="20"/>
              </w:rPr>
              <w:t>不</w:t>
            </w:r>
            <w:proofErr w:type="gramEnd"/>
            <w:r>
              <w:rPr>
                <w:rFonts w:eastAsia="宋体"/>
                <w:snapToGrid/>
                <w:sz w:val="20"/>
              </w:rPr>
              <w:t>补正、行政机关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rPr>
                <w:rFonts w:eastAsia="宋体"/>
                <w:snapToGrid/>
                <w:sz w:val="24"/>
                <w:szCs w:val="24"/>
              </w:rPr>
            </w:pPr>
            <w:r>
              <w:rPr>
                <w:rFonts w:eastAsia="宋体"/>
                <w:snapToGrid/>
                <w:sz w:val="20"/>
              </w:rPr>
              <w:t>2.</w:t>
            </w:r>
            <w:r>
              <w:rPr>
                <w:rFonts w:eastAsia="宋体"/>
                <w:snapToGrid/>
                <w:sz w:val="20"/>
              </w:rPr>
              <w:t>申请人逾期未按收费通知要求缴纳费用、行政机关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768" w:type="dxa"/>
            <w:vMerge/>
            <w:tcBorders>
              <w:top w:val="nil"/>
              <w:left w:val="single" w:sz="8" w:space="0" w:color="auto"/>
              <w:bottom w:val="inset"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rsidR="00DB0D7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r>
    </w:tbl>
    <w:p w:rsidR="00DB0D79" w:rsidRDefault="00DB0D79">
      <w:pPr>
        <w:spacing w:line="240" w:lineRule="auto"/>
        <w:ind w:firstLineChars="200" w:firstLine="600"/>
        <w:rPr>
          <w:rFonts w:eastAsia="黑体"/>
          <w:sz w:val="30"/>
          <w:szCs w:val="30"/>
        </w:rPr>
      </w:pPr>
    </w:p>
    <w:p w:rsidR="00DB0D79" w:rsidRDefault="00DB0D79">
      <w:pPr>
        <w:spacing w:line="240" w:lineRule="auto"/>
        <w:ind w:firstLine="0"/>
        <w:rPr>
          <w:rFonts w:eastAsia="黑体"/>
          <w:sz w:val="30"/>
          <w:szCs w:val="30"/>
        </w:rPr>
      </w:pPr>
    </w:p>
    <w:p w:rsidR="00DB0D79" w:rsidRDefault="00AC26BC">
      <w:pPr>
        <w:spacing w:afterLines="50" w:after="156" w:line="240" w:lineRule="auto"/>
        <w:ind w:firstLineChars="200" w:firstLine="640"/>
        <w:rPr>
          <w:rFonts w:eastAsia="黑体"/>
          <w:sz w:val="30"/>
          <w:szCs w:val="30"/>
        </w:rPr>
      </w:pPr>
      <w:r>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DB0D79">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rsidR="00DB0D79">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rsidR="00DB0D79">
        <w:trPr>
          <w:jc w:val="center"/>
        </w:trPr>
        <w:tc>
          <w:tcPr>
            <w:tcW w:w="0" w:type="auto"/>
            <w:vMerge/>
            <w:tcBorders>
              <w:top w:val="nil"/>
              <w:left w:val="single" w:sz="8" w:space="0" w:color="auto"/>
              <w:bottom w:val="single"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DB0D79" w:rsidRDefault="00DB0D79">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r>
            <w:r>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rsidR="00DB0D79">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B0D79" w:rsidRDefault="00AC26BC">
            <w:pPr>
              <w:widowControl/>
              <w:autoSpaceDE/>
              <w:autoSpaceDN/>
              <w:snapToGrid/>
              <w:spacing w:line="240" w:lineRule="auto"/>
              <w:ind w:firstLine="0"/>
              <w:jc w:val="center"/>
              <w:rPr>
                <w:rFonts w:eastAsia="宋体"/>
                <w:snapToGrid/>
                <w:sz w:val="24"/>
                <w:szCs w:val="24"/>
              </w:rPr>
            </w:pPr>
            <w:r>
              <w:rPr>
                <w:rFonts w:eastAsia="宋体"/>
                <w:snapToGrid/>
                <w:sz w:val="24"/>
                <w:szCs w:val="24"/>
              </w:rPr>
              <w:t>0</w:t>
            </w:r>
          </w:p>
        </w:tc>
      </w:tr>
    </w:tbl>
    <w:p w:rsidR="00DB0D79" w:rsidRDefault="00DB0D79">
      <w:pPr>
        <w:spacing w:line="240" w:lineRule="auto"/>
        <w:ind w:firstLineChars="200" w:firstLine="640"/>
        <w:rPr>
          <w:rFonts w:eastAsia="黑体"/>
          <w:szCs w:val="32"/>
        </w:rPr>
      </w:pPr>
    </w:p>
    <w:p w:rsidR="00DB0D79" w:rsidRDefault="00AC26BC">
      <w:pPr>
        <w:spacing w:line="560" w:lineRule="exact"/>
        <w:ind w:firstLineChars="200" w:firstLine="640"/>
        <w:rPr>
          <w:rFonts w:eastAsia="黑体"/>
          <w:szCs w:val="32"/>
        </w:rPr>
      </w:pPr>
      <w:r>
        <w:rPr>
          <w:rFonts w:eastAsia="黑体"/>
          <w:szCs w:val="32"/>
        </w:rPr>
        <w:t>五、存在的主要问题及改进情况</w:t>
      </w:r>
    </w:p>
    <w:p w:rsidR="00DB0D79" w:rsidRDefault="00AC26BC">
      <w:pPr>
        <w:spacing w:line="560" w:lineRule="exact"/>
        <w:ind w:firstLineChars="200" w:firstLine="640"/>
        <w:rPr>
          <w:rFonts w:eastAsia="楷体_GB2312"/>
          <w:szCs w:val="32"/>
        </w:rPr>
      </w:pPr>
      <w:r>
        <w:rPr>
          <w:rFonts w:eastAsia="楷体_GB2312"/>
          <w:szCs w:val="32"/>
        </w:rPr>
        <w:t>（一）存在问题</w:t>
      </w:r>
    </w:p>
    <w:p w:rsidR="00DB0D79" w:rsidRDefault="00AC26BC">
      <w:pPr>
        <w:spacing w:line="56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2021年,高青县投资促进中心政府信息公开工作有序开展,进一步加大了信息公开力度,但是仍存在一些不足:一是政府信息公开的力度不足;二是政务公开的方式过于僵化，公开渠道不够丰富，有待创新。</w:t>
      </w:r>
    </w:p>
    <w:p w:rsidR="00DB0D79" w:rsidRDefault="00AC26BC">
      <w:pPr>
        <w:spacing w:line="560" w:lineRule="exact"/>
        <w:ind w:firstLineChars="200" w:firstLine="640"/>
        <w:rPr>
          <w:rFonts w:eastAsia="楷体_GB2312"/>
          <w:szCs w:val="32"/>
        </w:rPr>
      </w:pPr>
      <w:r>
        <w:rPr>
          <w:rFonts w:eastAsia="楷体_GB2312"/>
          <w:szCs w:val="32"/>
        </w:rPr>
        <w:t>（二）改进措施</w:t>
      </w:r>
    </w:p>
    <w:p w:rsidR="00DB0D79" w:rsidRDefault="00AC26BC">
      <w:pPr>
        <w:spacing w:line="560" w:lineRule="exact"/>
        <w:ind w:firstLineChars="200" w:firstLine="640"/>
        <w:rPr>
          <w:rFonts w:eastAsia="仿宋_GB2312"/>
          <w:szCs w:val="32"/>
        </w:rPr>
      </w:pPr>
      <w:r>
        <w:rPr>
          <w:rFonts w:eastAsia="仿宋_GB2312"/>
          <w:szCs w:val="32"/>
        </w:rPr>
        <w:t>针对以上问题</w:t>
      </w:r>
      <w:r>
        <w:rPr>
          <w:rFonts w:eastAsia="仿宋_GB2312"/>
          <w:szCs w:val="32"/>
        </w:rPr>
        <w:t>,</w:t>
      </w:r>
      <w:r>
        <w:rPr>
          <w:rFonts w:eastAsia="仿宋_GB2312"/>
          <w:szCs w:val="32"/>
        </w:rPr>
        <w:t>县投资促进中心将重点改进以下两个方面：</w:t>
      </w:r>
    </w:p>
    <w:p w:rsidR="00DB0D79" w:rsidRDefault="00AC26BC">
      <w:pPr>
        <w:spacing w:line="560" w:lineRule="exact"/>
        <w:ind w:firstLineChars="200" w:firstLine="640"/>
        <w:rPr>
          <w:rFonts w:eastAsia="仿宋_GB2312"/>
          <w:szCs w:val="32"/>
        </w:rPr>
      </w:pPr>
      <w:r>
        <w:rPr>
          <w:rFonts w:eastAsia="仿宋_GB2312"/>
          <w:szCs w:val="32"/>
        </w:rPr>
        <w:t>一是充分发挥政府门户网站在政府信息与政务公开中的第一平台作用。有效利用政府信息平台，积极主动公开政府信息，不断完善中心政务信息公开制度，规范政务信息公开工作流程，建立完善中心政府信息公开体系。</w:t>
      </w:r>
    </w:p>
    <w:p w:rsidR="00DB0D79" w:rsidRDefault="00AC26BC">
      <w:pPr>
        <w:spacing w:line="560" w:lineRule="exact"/>
        <w:ind w:firstLineChars="200" w:firstLine="640"/>
        <w:rPr>
          <w:rFonts w:eastAsia="仿宋_GB2312"/>
          <w:szCs w:val="32"/>
        </w:rPr>
      </w:pPr>
      <w:r>
        <w:rPr>
          <w:rFonts w:eastAsia="仿宋_GB2312"/>
          <w:szCs w:val="32"/>
        </w:rPr>
        <w:t>二是创新政务信息公开方式。及时更新招商宣传资料，充分利用广播电视、报刊等线下公开平台，同时逐步拓展线上公开平台功能，在</w:t>
      </w:r>
      <w:r>
        <w:rPr>
          <w:rFonts w:eastAsia="仿宋_GB2312"/>
          <w:szCs w:val="32"/>
        </w:rPr>
        <w:t>“</w:t>
      </w:r>
      <w:r>
        <w:rPr>
          <w:rFonts w:eastAsia="仿宋_GB2312"/>
          <w:szCs w:val="32"/>
        </w:rPr>
        <w:t>投资高青</w:t>
      </w:r>
      <w:r>
        <w:rPr>
          <w:rFonts w:eastAsia="仿宋_GB2312"/>
          <w:szCs w:val="32"/>
        </w:rPr>
        <w:t>”</w:t>
      </w:r>
      <w:proofErr w:type="gramStart"/>
      <w:r>
        <w:rPr>
          <w:rFonts w:eastAsia="仿宋_GB2312"/>
          <w:szCs w:val="32"/>
        </w:rPr>
        <w:t>微信公众</w:t>
      </w:r>
      <w:proofErr w:type="gramEnd"/>
      <w:r>
        <w:rPr>
          <w:rFonts w:eastAsia="仿宋_GB2312"/>
          <w:szCs w:val="32"/>
        </w:rPr>
        <w:t>号中及时更新项目信息和招商动态，</w:t>
      </w:r>
      <w:proofErr w:type="gramStart"/>
      <w:r>
        <w:rPr>
          <w:rFonts w:eastAsia="仿宋_GB2312"/>
          <w:szCs w:val="32"/>
        </w:rPr>
        <w:t>实现线</w:t>
      </w:r>
      <w:proofErr w:type="gramEnd"/>
      <w:r>
        <w:rPr>
          <w:rFonts w:eastAsia="仿宋_GB2312"/>
          <w:szCs w:val="32"/>
        </w:rPr>
        <w:t>上线下平台融合互补。</w:t>
      </w:r>
    </w:p>
    <w:p w:rsidR="00DB0D79" w:rsidRDefault="00AC26BC">
      <w:pPr>
        <w:spacing w:line="240" w:lineRule="auto"/>
        <w:ind w:firstLineChars="200" w:firstLine="640"/>
        <w:rPr>
          <w:rFonts w:eastAsia="黑体"/>
          <w:szCs w:val="32"/>
        </w:rPr>
      </w:pPr>
      <w:r>
        <w:rPr>
          <w:rFonts w:eastAsia="黑体"/>
          <w:szCs w:val="32"/>
        </w:rPr>
        <w:t>六、其他需要报告的事项</w:t>
      </w:r>
    </w:p>
    <w:p w:rsidR="00DB0D79" w:rsidRDefault="00AC26BC">
      <w:pPr>
        <w:spacing w:line="560" w:lineRule="exact"/>
        <w:ind w:firstLineChars="200" w:firstLine="640"/>
        <w:rPr>
          <w:rFonts w:eastAsia="楷体_GB2312"/>
          <w:szCs w:val="32"/>
        </w:rPr>
      </w:pPr>
      <w:r>
        <w:rPr>
          <w:rFonts w:eastAsia="楷体_GB2312"/>
          <w:szCs w:val="32"/>
        </w:rPr>
        <w:t>（一）收取信息处理费情况</w:t>
      </w:r>
    </w:p>
    <w:p w:rsidR="00DB0D79" w:rsidRDefault="00AC26BC">
      <w:pPr>
        <w:spacing w:line="56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lastRenderedPageBreak/>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rsidR="00DB0D79" w:rsidRDefault="00AC26BC">
      <w:pPr>
        <w:spacing w:line="560" w:lineRule="exact"/>
        <w:ind w:firstLineChars="200" w:firstLine="640"/>
        <w:rPr>
          <w:rFonts w:eastAsia="楷体_GB2312"/>
          <w:szCs w:val="32"/>
        </w:rPr>
      </w:pPr>
      <w:r>
        <w:rPr>
          <w:rFonts w:eastAsia="楷体_GB2312"/>
          <w:szCs w:val="32"/>
        </w:rPr>
        <w:t>（二）落实上级年度政务公开工作要点情况</w:t>
      </w:r>
    </w:p>
    <w:p w:rsidR="00DB0D79" w:rsidRDefault="00AC26BC">
      <w:pPr>
        <w:spacing w:line="56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w:t>
      </w:r>
      <w:proofErr w:type="gramStart"/>
      <w:r>
        <w:rPr>
          <w:rFonts w:ascii="仿宋_GB2312" w:eastAsia="仿宋_GB2312" w:hAnsi="仿宋_GB2312" w:cs="仿宋_GB2312" w:hint="eastAsia"/>
          <w:color w:val="000000"/>
          <w:szCs w:val="32"/>
        </w:rPr>
        <w:t>淄</w:t>
      </w:r>
      <w:proofErr w:type="gramEnd"/>
      <w:r>
        <w:rPr>
          <w:rFonts w:ascii="仿宋_GB2312" w:eastAsia="仿宋_GB2312" w:hAnsi="仿宋_GB2312" w:cs="仿宋_GB2312" w:hint="eastAsia"/>
          <w:color w:val="000000"/>
          <w:szCs w:val="32"/>
        </w:rPr>
        <w:t>政办字〔2021〕39号）各项规定，制定了《高青县投资促进中心2021年政务公开工作实施方案》，并根据要点要求，重点做好招商引资领域信息公开工作，目前各项工作已落实到位。建立定期检查考核制度，每季度进行政务公开问题再查，发现问题及时纠正。梳理招商政务服务事项，突出重点，切实围绕我单位招商引资工作，及时公开、宣传投资促进政策，为开创招商引资工作新局面服务。</w:t>
      </w:r>
    </w:p>
    <w:p w:rsidR="00DB0D79" w:rsidRDefault="00AC26BC">
      <w:pPr>
        <w:spacing w:line="560" w:lineRule="exact"/>
        <w:ind w:firstLineChars="200" w:firstLine="640"/>
        <w:rPr>
          <w:rFonts w:eastAsia="楷体_GB2312"/>
          <w:szCs w:val="32"/>
        </w:rPr>
      </w:pPr>
      <w:r>
        <w:rPr>
          <w:rFonts w:eastAsia="楷体_GB2312"/>
          <w:szCs w:val="32"/>
        </w:rPr>
        <w:t>（三）人大代表建议和政协委员提案办理结果公开情况</w:t>
      </w:r>
    </w:p>
    <w:p w:rsidR="00DB0D79" w:rsidRDefault="00AC26BC">
      <w:pPr>
        <w:spacing w:line="56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2021年，本机关共</w:t>
      </w:r>
      <w:proofErr w:type="gramStart"/>
      <w:r>
        <w:rPr>
          <w:rFonts w:ascii="仿宋_GB2312" w:eastAsia="仿宋_GB2312" w:hAnsi="仿宋_GB2312" w:cs="仿宋_GB2312" w:hint="eastAsia"/>
          <w:color w:val="000000"/>
          <w:szCs w:val="32"/>
        </w:rPr>
        <w:t>承办县</w:t>
      </w:r>
      <w:proofErr w:type="gramEnd"/>
      <w:r>
        <w:rPr>
          <w:rFonts w:ascii="仿宋_GB2312" w:eastAsia="仿宋_GB2312" w:hAnsi="仿宋_GB2312" w:cs="仿宋_GB2312" w:hint="eastAsia"/>
          <w:color w:val="000000"/>
          <w:szCs w:val="32"/>
        </w:rPr>
        <w:t>十七届人大五次会议建议1件，</w:t>
      </w:r>
      <w:proofErr w:type="gramStart"/>
      <w:r>
        <w:rPr>
          <w:rFonts w:ascii="仿宋_GB2312" w:eastAsia="仿宋_GB2312" w:hAnsi="仿宋_GB2312" w:cs="仿宋_GB2312" w:hint="eastAsia"/>
          <w:color w:val="000000"/>
          <w:szCs w:val="32"/>
        </w:rPr>
        <w:t>承办县</w:t>
      </w:r>
      <w:proofErr w:type="gramEnd"/>
      <w:r>
        <w:rPr>
          <w:rFonts w:ascii="仿宋_GB2312" w:eastAsia="仿宋_GB2312" w:hAnsi="仿宋_GB2312" w:cs="仿宋_GB2312" w:hint="eastAsia"/>
          <w:color w:val="000000"/>
          <w:szCs w:val="32"/>
        </w:rPr>
        <w:t>政协十四届五次会议提案0件，办复率均为100%。除涉及国家秘密、工作秘密、个人隐私的，均在县政府网站建议提案专题，集中公开建议提案人、建议提案原文、建议提案办理结果</w:t>
      </w:r>
      <w:r>
        <w:rPr>
          <w:rFonts w:ascii="仿宋_GB2312" w:eastAsia="仿宋_GB2312" w:hAnsi="仿宋_GB2312" w:cs="仿宋_GB2312" w:hint="eastAsia"/>
          <w:color w:val="000000"/>
          <w:szCs w:val="32"/>
        </w:rPr>
        <w:lastRenderedPageBreak/>
        <w:t>等信息。</w:t>
      </w:r>
    </w:p>
    <w:p w:rsidR="00DB0D79" w:rsidRDefault="00AC26BC">
      <w:pPr>
        <w:spacing w:line="560" w:lineRule="exact"/>
        <w:ind w:firstLineChars="200" w:firstLine="640"/>
        <w:rPr>
          <w:rFonts w:eastAsia="楷体_GB2312"/>
          <w:szCs w:val="32"/>
        </w:rPr>
      </w:pPr>
      <w:r>
        <w:rPr>
          <w:rFonts w:eastAsia="楷体_GB2312"/>
          <w:szCs w:val="32"/>
        </w:rPr>
        <w:t>（四）政务公开工作创新情况</w:t>
      </w:r>
    </w:p>
    <w:p w:rsidR="00DB0D79" w:rsidRDefault="00AC26BC">
      <w:pPr>
        <w:pStyle w:val="a6"/>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创新政府信息公开形式，在高青县人民政府门户网站主动公开相关政务信息，通过</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投资高青</w:t>
      </w:r>
      <w:r>
        <w:rPr>
          <w:rFonts w:ascii="Times New Roman" w:eastAsia="仿宋_GB2312" w:hAnsi="Times New Roman" w:cs="Times New Roman"/>
          <w:color w:val="000000"/>
          <w:sz w:val="32"/>
          <w:szCs w:val="32"/>
        </w:rPr>
        <w:t>”</w:t>
      </w:r>
      <w:proofErr w:type="gramStart"/>
      <w:r>
        <w:rPr>
          <w:rFonts w:ascii="Times New Roman" w:eastAsia="仿宋_GB2312" w:hAnsi="Times New Roman" w:cs="Times New Roman"/>
          <w:color w:val="000000"/>
          <w:sz w:val="32"/>
          <w:szCs w:val="32"/>
        </w:rPr>
        <w:t>微信公众号</w:t>
      </w:r>
      <w:proofErr w:type="gramEnd"/>
      <w:r>
        <w:rPr>
          <w:rFonts w:ascii="Times New Roman" w:eastAsia="仿宋_GB2312" w:hAnsi="Times New Roman" w:cs="Times New Roman"/>
          <w:color w:val="000000"/>
          <w:sz w:val="32"/>
          <w:szCs w:val="32"/>
        </w:rPr>
        <w:t>等平台进行信息公开与宣传，及时公开工作动态及成果，</w:t>
      </w:r>
      <w:r>
        <w:rPr>
          <w:rFonts w:ascii="Times New Roman" w:eastAsia="仿宋_GB2312" w:hAnsi="Times New Roman" w:cs="Times New Roman"/>
          <w:color w:val="333333"/>
          <w:sz w:val="32"/>
          <w:szCs w:val="32"/>
          <w:shd w:val="clear" w:color="auto" w:fill="FFFFFF"/>
        </w:rPr>
        <w:t>方便公众及时、便捷、精准了解相关信息，同时</w:t>
      </w:r>
      <w:r>
        <w:rPr>
          <w:rFonts w:ascii="Times New Roman" w:eastAsia="仿宋_GB2312" w:hAnsi="Times New Roman" w:cs="Times New Roman"/>
          <w:color w:val="000000"/>
          <w:sz w:val="32"/>
          <w:szCs w:val="32"/>
        </w:rPr>
        <w:t>与群众互动留言，提高政务工作透明度。</w:t>
      </w:r>
    </w:p>
    <w:p w:rsidR="00DB0D79" w:rsidRDefault="00AC26BC">
      <w:pPr>
        <w:spacing w:line="560" w:lineRule="exact"/>
        <w:ind w:firstLineChars="200" w:firstLine="640"/>
        <w:rPr>
          <w:rFonts w:eastAsia="楷体_GB2312"/>
          <w:szCs w:val="32"/>
        </w:rPr>
      </w:pPr>
      <w:r>
        <w:rPr>
          <w:rFonts w:eastAsia="楷体_GB2312"/>
          <w:szCs w:val="32"/>
        </w:rPr>
        <w:t>（五）有关数据统计说明</w:t>
      </w:r>
    </w:p>
    <w:p w:rsidR="00DB0D79" w:rsidRDefault="00AC26BC">
      <w:pPr>
        <w:spacing w:line="560" w:lineRule="exact"/>
        <w:ind w:firstLineChars="200" w:firstLine="640"/>
        <w:rPr>
          <w:rFonts w:eastAsia="仿宋_GB2312"/>
          <w:szCs w:val="32"/>
        </w:rPr>
      </w:pPr>
      <w:r>
        <w:rPr>
          <w:rFonts w:eastAsia="仿宋_GB2312"/>
          <w:szCs w:val="32"/>
        </w:rPr>
        <w:t>报告中所列数据可能因四舍五入原因与数据直接相加之和存在尾数差异。</w:t>
      </w:r>
    </w:p>
    <w:p w:rsidR="00DB0D79" w:rsidRDefault="00DB0D79">
      <w:pPr>
        <w:spacing w:line="600" w:lineRule="exact"/>
        <w:ind w:firstLineChars="200" w:firstLine="640"/>
        <w:rPr>
          <w:rFonts w:eastAsia="仿宋_GB2312"/>
          <w:szCs w:val="32"/>
        </w:rPr>
      </w:pPr>
    </w:p>
    <w:p w:rsidR="00DB0D79" w:rsidRDefault="00DB0D79">
      <w:pPr>
        <w:spacing w:line="600" w:lineRule="exact"/>
        <w:ind w:firstLineChars="200" w:firstLine="640"/>
        <w:rPr>
          <w:rFonts w:eastAsia="仿宋_GB2312"/>
          <w:szCs w:val="32"/>
        </w:rPr>
      </w:pPr>
    </w:p>
    <w:p w:rsidR="00DB0D79" w:rsidRDefault="00DB0D79">
      <w:pPr>
        <w:spacing w:line="600" w:lineRule="exact"/>
        <w:ind w:firstLineChars="200" w:firstLine="640"/>
        <w:rPr>
          <w:rFonts w:eastAsia="仿宋_GB2312"/>
          <w:szCs w:val="32"/>
        </w:rPr>
      </w:pPr>
    </w:p>
    <w:sectPr w:rsidR="00DB0D79">
      <w:pgSz w:w="11906" w:h="16838"/>
      <w:pgMar w:top="1871" w:right="1587" w:bottom="187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C80" w:rsidRDefault="001B3C80">
      <w:pPr>
        <w:spacing w:line="240" w:lineRule="auto"/>
      </w:pPr>
      <w:r>
        <w:separator/>
      </w:r>
    </w:p>
  </w:endnote>
  <w:endnote w:type="continuationSeparator" w:id="0">
    <w:p w:rsidR="001B3C80" w:rsidRDefault="001B3C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38CF7CFA" w:usb2="00082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C80" w:rsidRDefault="001B3C80">
      <w:pPr>
        <w:spacing w:line="240" w:lineRule="auto"/>
      </w:pPr>
      <w:r>
        <w:separator/>
      </w:r>
    </w:p>
  </w:footnote>
  <w:footnote w:type="continuationSeparator" w:id="0">
    <w:p w:rsidR="001B3C80" w:rsidRDefault="001B3C8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9DFAC589"/>
    <w:rsid w:val="A3BDDDFE"/>
    <w:rsid w:val="BB7FFF35"/>
    <w:rsid w:val="BFCF1420"/>
    <w:rsid w:val="CFEF06C2"/>
    <w:rsid w:val="DCF73665"/>
    <w:rsid w:val="DFFFEFB2"/>
    <w:rsid w:val="F665E63B"/>
    <w:rsid w:val="F7A7BA53"/>
    <w:rsid w:val="FC7F7DE0"/>
    <w:rsid w:val="FD4D0692"/>
    <w:rsid w:val="FEAEA896"/>
    <w:rsid w:val="FECBDC41"/>
    <w:rsid w:val="FF23FE77"/>
    <w:rsid w:val="FFDD50BA"/>
    <w:rsid w:val="FFE1075F"/>
    <w:rsid w:val="FFFFF37A"/>
    <w:rsid w:val="00024945"/>
    <w:rsid w:val="00117733"/>
    <w:rsid w:val="00121DCF"/>
    <w:rsid w:val="00137CFB"/>
    <w:rsid w:val="00160F8E"/>
    <w:rsid w:val="001B3C80"/>
    <w:rsid w:val="00211942"/>
    <w:rsid w:val="002438D7"/>
    <w:rsid w:val="00255BA4"/>
    <w:rsid w:val="002A2E26"/>
    <w:rsid w:val="002E3543"/>
    <w:rsid w:val="002F279D"/>
    <w:rsid w:val="003267DB"/>
    <w:rsid w:val="00353E35"/>
    <w:rsid w:val="00366621"/>
    <w:rsid w:val="00413197"/>
    <w:rsid w:val="00415AB1"/>
    <w:rsid w:val="00467C3E"/>
    <w:rsid w:val="004C13F5"/>
    <w:rsid w:val="00591E5D"/>
    <w:rsid w:val="00603E33"/>
    <w:rsid w:val="00673AC7"/>
    <w:rsid w:val="006E3AE0"/>
    <w:rsid w:val="006F1318"/>
    <w:rsid w:val="00704FCD"/>
    <w:rsid w:val="00730C22"/>
    <w:rsid w:val="007720C3"/>
    <w:rsid w:val="007C69AE"/>
    <w:rsid w:val="00874F24"/>
    <w:rsid w:val="00881FF1"/>
    <w:rsid w:val="0089514D"/>
    <w:rsid w:val="008C4ED2"/>
    <w:rsid w:val="00911538"/>
    <w:rsid w:val="009421FD"/>
    <w:rsid w:val="009A29D7"/>
    <w:rsid w:val="009B028C"/>
    <w:rsid w:val="009F731B"/>
    <w:rsid w:val="00A025BB"/>
    <w:rsid w:val="00A3107C"/>
    <w:rsid w:val="00AA1FA1"/>
    <w:rsid w:val="00AC26BC"/>
    <w:rsid w:val="00AC5E13"/>
    <w:rsid w:val="00AF4698"/>
    <w:rsid w:val="00B045BA"/>
    <w:rsid w:val="00B44418"/>
    <w:rsid w:val="00B828B6"/>
    <w:rsid w:val="00C1005A"/>
    <w:rsid w:val="00C25BC7"/>
    <w:rsid w:val="00C67940"/>
    <w:rsid w:val="00CA665A"/>
    <w:rsid w:val="00CC2BE7"/>
    <w:rsid w:val="00CD1D00"/>
    <w:rsid w:val="00D467A0"/>
    <w:rsid w:val="00D6577B"/>
    <w:rsid w:val="00D87AD7"/>
    <w:rsid w:val="00DB0D79"/>
    <w:rsid w:val="00DB4E99"/>
    <w:rsid w:val="00E8511E"/>
    <w:rsid w:val="00EA0721"/>
    <w:rsid w:val="00EF5607"/>
    <w:rsid w:val="00F83BDC"/>
    <w:rsid w:val="00FA216A"/>
    <w:rsid w:val="00FD5381"/>
    <w:rsid w:val="013B3D53"/>
    <w:rsid w:val="04952D5C"/>
    <w:rsid w:val="062A1CE3"/>
    <w:rsid w:val="079F4BE7"/>
    <w:rsid w:val="0B3E049C"/>
    <w:rsid w:val="0E6B3277"/>
    <w:rsid w:val="12936439"/>
    <w:rsid w:val="16424188"/>
    <w:rsid w:val="1C155249"/>
    <w:rsid w:val="1E210069"/>
    <w:rsid w:val="225615B4"/>
    <w:rsid w:val="22990301"/>
    <w:rsid w:val="2501714D"/>
    <w:rsid w:val="255B9751"/>
    <w:rsid w:val="270D0443"/>
    <w:rsid w:val="290A795F"/>
    <w:rsid w:val="2FFF0ECF"/>
    <w:rsid w:val="332B1D24"/>
    <w:rsid w:val="336B328F"/>
    <w:rsid w:val="34BC47B8"/>
    <w:rsid w:val="37965BC5"/>
    <w:rsid w:val="3A261A83"/>
    <w:rsid w:val="3BDA1A27"/>
    <w:rsid w:val="3BFFB5AB"/>
    <w:rsid w:val="3DE31EF5"/>
    <w:rsid w:val="3F2D83E0"/>
    <w:rsid w:val="3F6806EF"/>
    <w:rsid w:val="434A6768"/>
    <w:rsid w:val="44AF7FFE"/>
    <w:rsid w:val="4957640F"/>
    <w:rsid w:val="49C167BA"/>
    <w:rsid w:val="4AB64F82"/>
    <w:rsid w:val="4BEECC1E"/>
    <w:rsid w:val="4EFB3644"/>
    <w:rsid w:val="4F862FC4"/>
    <w:rsid w:val="5459613F"/>
    <w:rsid w:val="552370D7"/>
    <w:rsid w:val="565E654D"/>
    <w:rsid w:val="57AE0564"/>
    <w:rsid w:val="57DE0173"/>
    <w:rsid w:val="58E11CEA"/>
    <w:rsid w:val="59C35A3C"/>
    <w:rsid w:val="5DD70A5D"/>
    <w:rsid w:val="5E6201E7"/>
    <w:rsid w:val="5F3F8643"/>
    <w:rsid w:val="5F591C4D"/>
    <w:rsid w:val="5FE75302"/>
    <w:rsid w:val="63737629"/>
    <w:rsid w:val="677F27E7"/>
    <w:rsid w:val="6DE53E47"/>
    <w:rsid w:val="6DFD4F55"/>
    <w:rsid w:val="6E5A6DF9"/>
    <w:rsid w:val="6F5FEB4B"/>
    <w:rsid w:val="6F92228B"/>
    <w:rsid w:val="6FF6CF07"/>
    <w:rsid w:val="6FFF4D0F"/>
    <w:rsid w:val="730F512A"/>
    <w:rsid w:val="73F5F19C"/>
    <w:rsid w:val="752A3D2F"/>
    <w:rsid w:val="775BD8AE"/>
    <w:rsid w:val="79C200B9"/>
    <w:rsid w:val="7AF757AE"/>
    <w:rsid w:val="7AFB6E42"/>
    <w:rsid w:val="7CD51D9C"/>
    <w:rsid w:val="7E578B85"/>
    <w:rsid w:val="7E824B25"/>
    <w:rsid w:val="7EEF31BA"/>
    <w:rsid w:val="7FBE2DDB"/>
    <w:rsid w:val="7FDD95C1"/>
    <w:rsid w:val="7FEE9B51"/>
    <w:rsid w:val="7FF7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qFormat/>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FollowedHyperlink"/>
    <w:basedOn w:val="a0"/>
    <w:uiPriority w:val="99"/>
    <w:semiHidden/>
    <w:unhideWhenUsed/>
    <w:qFormat/>
    <w:rPr>
      <w:color w:val="555555"/>
      <w:u w:val="none"/>
    </w:rPr>
  </w:style>
  <w:style w:type="character" w:styleId="aa">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b">
    <w:name w:val="Hyperlink"/>
    <w:basedOn w:val="a0"/>
    <w:uiPriority w:val="99"/>
    <w:semiHidden/>
    <w:unhideWhenUsed/>
    <w:qFormat/>
    <w:rPr>
      <w:color w:val="555555"/>
      <w:u w:val="none"/>
    </w:rPr>
  </w:style>
  <w:style w:type="character" w:styleId="HTML1">
    <w:name w:val="HTML Code"/>
    <w:basedOn w:val="a0"/>
    <w:uiPriority w:val="99"/>
    <w:semiHidden/>
    <w:unhideWhenUsed/>
    <w:qFormat/>
    <w:rPr>
      <w:rFonts w:ascii="Courier New" w:hAnsi="Courier New"/>
      <w:sz w:val="20"/>
    </w:rPr>
  </w:style>
  <w:style w:type="character" w:styleId="HTML2">
    <w:name w:val="HTML Cite"/>
    <w:basedOn w:val="a0"/>
    <w:uiPriority w:val="99"/>
    <w:semiHidden/>
    <w:unhideWhenUsed/>
    <w:qFormat/>
  </w:style>
  <w:style w:type="character" w:styleId="HTML3">
    <w:name w:val="HTML Keyboard"/>
    <w:basedOn w:val="a0"/>
    <w:uiPriority w:val="99"/>
    <w:semiHidden/>
    <w:unhideWhenUsed/>
    <w:qFormat/>
    <w:rPr>
      <w:rFonts w:ascii="Courier New" w:hAnsi="Courier New"/>
      <w:sz w:val="20"/>
    </w:rPr>
  </w:style>
  <w:style w:type="character" w:styleId="HTML4">
    <w:name w:val="HTML Sample"/>
    <w:basedOn w:val="a0"/>
    <w:uiPriority w:val="99"/>
    <w:semiHidden/>
    <w:unhideWhenUsed/>
    <w:qFormat/>
    <w:rPr>
      <w:rFonts w:ascii="Courier New" w:hAnsi="Courier New"/>
    </w:rPr>
  </w:style>
  <w:style w:type="character" w:customStyle="1" w:styleId="Char1">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4"/>
    <w:uiPriority w:val="99"/>
    <w:qFormat/>
    <w:rPr>
      <w:rFonts w:ascii="Times New Roman" w:eastAsia="方正仿宋_GBK" w:hAnsi="Times New Roman" w:cs="Times New Roman"/>
      <w:snapToGrid w:val="0"/>
      <w:kern w:val="0"/>
      <w:sz w:val="18"/>
      <w:szCs w:val="18"/>
    </w:rPr>
  </w:style>
  <w:style w:type="character" w:customStyle="1" w:styleId="hover9">
    <w:name w:val="hover9"/>
    <w:basedOn w:val="a0"/>
    <w:qFormat/>
    <w:rPr>
      <w:color w:val="245399"/>
    </w:rPr>
  </w:style>
  <w:style w:type="character" w:customStyle="1" w:styleId="hover10">
    <w:name w:val="hover10"/>
    <w:basedOn w:val="a0"/>
    <w:qFormat/>
    <w:rPr>
      <w:color w:val="FFFFFF"/>
    </w:rPr>
  </w:style>
  <w:style w:type="character" w:customStyle="1" w:styleId="hover11">
    <w:name w:val="hover11"/>
    <w:basedOn w:val="a0"/>
    <w:qFormat/>
    <w:rPr>
      <w:color w:val="245399"/>
    </w:rPr>
  </w:style>
  <w:style w:type="character" w:customStyle="1" w:styleId="hover">
    <w:name w:val="hover"/>
    <w:basedOn w:val="a0"/>
    <w:qFormat/>
    <w:rPr>
      <w:color w:val="FFFFFF"/>
    </w:rPr>
  </w:style>
  <w:style w:type="character" w:customStyle="1" w:styleId="hover1">
    <w:name w:val="hover1"/>
    <w:basedOn w:val="a0"/>
    <w:qFormat/>
    <w:rPr>
      <w:color w:val="245399"/>
    </w:rPr>
  </w:style>
  <w:style w:type="character" w:customStyle="1" w:styleId="hover2">
    <w:name w:val="hover2"/>
    <w:basedOn w:val="a0"/>
    <w:qFormat/>
    <w:rPr>
      <w:color w:val="245399"/>
    </w:rPr>
  </w:style>
  <w:style w:type="character" w:customStyle="1" w:styleId="Char">
    <w:name w:val="批注框文本 Char"/>
    <w:basedOn w:val="a0"/>
    <w:link w:val="a3"/>
    <w:uiPriority w:val="99"/>
    <w:semiHidden/>
    <w:qFormat/>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qFormat/>
    <w:pPr>
      <w:widowControl/>
      <w:autoSpaceDE/>
      <w:autoSpaceDN/>
      <w:snapToGrid/>
      <w:spacing w:before="100" w:beforeAutospacing="1" w:after="100" w:afterAutospacing="1" w:line="240" w:lineRule="auto"/>
      <w:ind w:firstLine="0"/>
      <w:jc w:val="left"/>
    </w:pPr>
    <w:rPr>
      <w:rFonts w:ascii="宋体" w:eastAsia="宋体" w:hAnsi="宋体" w:cs="宋体"/>
      <w:snapToGrid/>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styleId="a9">
    <w:name w:val="FollowedHyperlink"/>
    <w:basedOn w:val="a0"/>
    <w:uiPriority w:val="99"/>
    <w:semiHidden/>
    <w:unhideWhenUsed/>
    <w:qFormat/>
    <w:rPr>
      <w:color w:val="555555"/>
      <w:u w:val="none"/>
    </w:rPr>
  </w:style>
  <w:style w:type="character" w:styleId="aa">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Variable"/>
    <w:basedOn w:val="a0"/>
    <w:uiPriority w:val="99"/>
    <w:semiHidden/>
    <w:unhideWhenUsed/>
    <w:qFormat/>
  </w:style>
  <w:style w:type="character" w:styleId="ab">
    <w:name w:val="Hyperlink"/>
    <w:basedOn w:val="a0"/>
    <w:uiPriority w:val="99"/>
    <w:semiHidden/>
    <w:unhideWhenUsed/>
    <w:qFormat/>
    <w:rPr>
      <w:color w:val="555555"/>
      <w:u w:val="none"/>
    </w:rPr>
  </w:style>
  <w:style w:type="character" w:styleId="HTML1">
    <w:name w:val="HTML Code"/>
    <w:basedOn w:val="a0"/>
    <w:uiPriority w:val="99"/>
    <w:semiHidden/>
    <w:unhideWhenUsed/>
    <w:qFormat/>
    <w:rPr>
      <w:rFonts w:ascii="Courier New" w:hAnsi="Courier New"/>
      <w:sz w:val="20"/>
    </w:rPr>
  </w:style>
  <w:style w:type="character" w:styleId="HTML2">
    <w:name w:val="HTML Cite"/>
    <w:basedOn w:val="a0"/>
    <w:uiPriority w:val="99"/>
    <w:semiHidden/>
    <w:unhideWhenUsed/>
    <w:qFormat/>
  </w:style>
  <w:style w:type="character" w:styleId="HTML3">
    <w:name w:val="HTML Keyboard"/>
    <w:basedOn w:val="a0"/>
    <w:uiPriority w:val="99"/>
    <w:semiHidden/>
    <w:unhideWhenUsed/>
    <w:qFormat/>
    <w:rPr>
      <w:rFonts w:ascii="Courier New" w:hAnsi="Courier New"/>
      <w:sz w:val="20"/>
    </w:rPr>
  </w:style>
  <w:style w:type="character" w:styleId="HTML4">
    <w:name w:val="HTML Sample"/>
    <w:basedOn w:val="a0"/>
    <w:uiPriority w:val="99"/>
    <w:semiHidden/>
    <w:unhideWhenUsed/>
    <w:qFormat/>
    <w:rPr>
      <w:rFonts w:ascii="Courier New" w:hAnsi="Courier New"/>
    </w:rPr>
  </w:style>
  <w:style w:type="character" w:customStyle="1" w:styleId="Char1">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4"/>
    <w:uiPriority w:val="99"/>
    <w:qFormat/>
    <w:rPr>
      <w:rFonts w:ascii="Times New Roman" w:eastAsia="方正仿宋_GBK" w:hAnsi="Times New Roman" w:cs="Times New Roman"/>
      <w:snapToGrid w:val="0"/>
      <w:kern w:val="0"/>
      <w:sz w:val="18"/>
      <w:szCs w:val="18"/>
    </w:rPr>
  </w:style>
  <w:style w:type="character" w:customStyle="1" w:styleId="hover9">
    <w:name w:val="hover9"/>
    <w:basedOn w:val="a0"/>
    <w:qFormat/>
    <w:rPr>
      <w:color w:val="245399"/>
    </w:rPr>
  </w:style>
  <w:style w:type="character" w:customStyle="1" w:styleId="hover10">
    <w:name w:val="hover10"/>
    <w:basedOn w:val="a0"/>
    <w:qFormat/>
    <w:rPr>
      <w:color w:val="FFFFFF"/>
    </w:rPr>
  </w:style>
  <w:style w:type="character" w:customStyle="1" w:styleId="hover11">
    <w:name w:val="hover11"/>
    <w:basedOn w:val="a0"/>
    <w:qFormat/>
    <w:rPr>
      <w:color w:val="245399"/>
    </w:rPr>
  </w:style>
  <w:style w:type="character" w:customStyle="1" w:styleId="hover">
    <w:name w:val="hover"/>
    <w:basedOn w:val="a0"/>
    <w:qFormat/>
    <w:rPr>
      <w:color w:val="FFFFFF"/>
    </w:rPr>
  </w:style>
  <w:style w:type="character" w:customStyle="1" w:styleId="hover1">
    <w:name w:val="hover1"/>
    <w:basedOn w:val="a0"/>
    <w:qFormat/>
    <w:rPr>
      <w:color w:val="245399"/>
    </w:rPr>
  </w:style>
  <w:style w:type="character" w:customStyle="1" w:styleId="hover2">
    <w:name w:val="hover2"/>
    <w:basedOn w:val="a0"/>
    <w:qFormat/>
    <w:rPr>
      <w:color w:val="245399"/>
    </w:rPr>
  </w:style>
  <w:style w:type="character" w:customStyle="1" w:styleId="Char">
    <w:name w:val="批注框文本 Char"/>
    <w:basedOn w:val="a0"/>
    <w:link w:val="a3"/>
    <w:uiPriority w:val="99"/>
    <w:semiHidden/>
    <w:qFormat/>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569</Words>
  <Characters>3245</Characters>
  <Application>Microsoft Office Word</Application>
  <DocSecurity>0</DocSecurity>
  <Lines>27</Lines>
  <Paragraphs>7</Paragraphs>
  <ScaleCrop>false</ScaleCrop>
  <Company>gq</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45</cp:revision>
  <cp:lastPrinted>2022-01-11T10:50:00Z</cp:lastPrinted>
  <dcterms:created xsi:type="dcterms:W3CDTF">2022-01-02T09:04:00Z</dcterms:created>
  <dcterms:modified xsi:type="dcterms:W3CDTF">2022-01-21T12:41:00Z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51578127149347CF9CEA34FA1E6CD554</vt:lpwstr>
  </property>
</Properties>
</file>