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EA9FC">
      <w:pPr>
        <w:spacing w:line="560" w:lineRule="exact"/>
        <w:ind w:firstLine="0"/>
        <w:jc w:val="center"/>
        <w:rPr>
          <w:rFonts w:hint="eastAsia" w:eastAsia="方正小标宋简体"/>
          <w:kern w:val="0"/>
          <w:sz w:val="44"/>
          <w:szCs w:val="24"/>
        </w:rPr>
      </w:pPr>
      <w:r>
        <w:rPr>
          <w:rFonts w:hint="eastAsia" w:eastAsia="方正小标宋简体"/>
          <w:kern w:val="0"/>
          <w:sz w:val="44"/>
          <w:szCs w:val="24"/>
        </w:rPr>
        <w:t>高青县</w:t>
      </w:r>
      <w:r>
        <w:rPr>
          <w:rFonts w:hint="eastAsia" w:eastAsia="方正小标宋简体"/>
          <w:kern w:val="0"/>
          <w:sz w:val="44"/>
          <w:szCs w:val="24"/>
          <w:lang w:eastAsia="zh-CN"/>
        </w:rPr>
        <w:t>田镇街道办事处</w:t>
      </w:r>
      <w:r>
        <w:rPr>
          <w:rFonts w:hint="eastAsia" w:eastAsia="方正小标宋简体"/>
          <w:kern w:val="0"/>
          <w:sz w:val="44"/>
          <w:szCs w:val="24"/>
        </w:rPr>
        <w:t>202</w:t>
      </w:r>
      <w:r>
        <w:rPr>
          <w:rFonts w:hint="eastAsia" w:eastAsia="方正小标宋简体"/>
          <w:kern w:val="0"/>
          <w:sz w:val="44"/>
          <w:szCs w:val="24"/>
          <w:lang w:val="en-US" w:eastAsia="zh-CN"/>
        </w:rPr>
        <w:t>5</w:t>
      </w:r>
      <w:r>
        <w:rPr>
          <w:rFonts w:hint="eastAsia" w:eastAsia="方正小标宋简体"/>
          <w:kern w:val="0"/>
          <w:sz w:val="44"/>
          <w:szCs w:val="24"/>
        </w:rPr>
        <w:t>年政府信息公开</w:t>
      </w:r>
    </w:p>
    <w:p w14:paraId="0B48FDA6">
      <w:pPr>
        <w:spacing w:line="560" w:lineRule="exact"/>
        <w:ind w:firstLine="0"/>
        <w:jc w:val="center"/>
        <w:rPr>
          <w:rFonts w:hint="eastAsia" w:eastAsia="方正小标宋简体"/>
          <w:kern w:val="0"/>
          <w:sz w:val="44"/>
          <w:szCs w:val="24"/>
        </w:rPr>
      </w:pPr>
      <w:r>
        <w:rPr>
          <w:rFonts w:hint="eastAsia" w:eastAsia="方正小标宋简体"/>
          <w:kern w:val="0"/>
          <w:sz w:val="44"/>
          <w:szCs w:val="24"/>
        </w:rPr>
        <w:t>工作年度报告</w:t>
      </w:r>
    </w:p>
    <w:p w14:paraId="13EFA669">
      <w:pPr>
        <w:spacing w:line="560" w:lineRule="exact"/>
        <w:ind w:firstLine="0"/>
        <w:jc w:val="center"/>
        <w:rPr>
          <w:rFonts w:hint="eastAsia" w:eastAsia="方正小标宋简体"/>
          <w:kern w:val="0"/>
          <w:sz w:val="44"/>
          <w:szCs w:val="24"/>
        </w:rPr>
      </w:pPr>
    </w:p>
    <w:p w14:paraId="3091F315">
      <w:pPr>
        <w:spacing w:line="60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本报告根据《中华人民共和国政府信息公开条例》（国务院令第711号，以下简称《条例》）</w:t>
      </w:r>
      <w:r>
        <w:rPr>
          <w:rFonts w:hint="default" w:ascii="Times New Roman" w:hAnsi="Times New Roman" w:eastAsia="仿宋_GB2312" w:cs="Times New Roman"/>
          <w:szCs w:val="32"/>
        </w:rPr>
        <w:t>和《国务院办公厅政府信息与政务公开办公室关于印发&lt;中华人民共和国政府信息公开工作年度报告格式&gt;的通知》（国办公开办函〔2021〕30号）相关要求编制</w:t>
      </w:r>
      <w:r>
        <w:rPr>
          <w:rFonts w:hint="default" w:ascii="Times New Roman" w:hAnsi="Times New Roman" w:eastAsia="仿宋_GB2312" w:cs="Times New Roman"/>
        </w:rPr>
        <w:t>。报告全文分总体情况、主动公开政府信息情况、收到和处理政府信息公开申请情况、政府信息公开行政复议和行政诉讼情况、存在的主要问题及改进情况、其他需要报告的事项六个部分。</w:t>
      </w:r>
    </w:p>
    <w:p w14:paraId="3ABB0340">
      <w:pPr>
        <w:spacing w:line="560" w:lineRule="exact"/>
        <w:ind w:firstLine="640" w:firstLineChars="200"/>
        <w:rPr>
          <w:rFonts w:eastAsia="仿宋_GB2312"/>
          <w:szCs w:val="32"/>
        </w:rPr>
      </w:pPr>
      <w:r>
        <w:rPr>
          <w:rFonts w:hint="eastAsia" w:ascii="仿宋_GB2312" w:eastAsia="仿宋_GB2312"/>
        </w:rPr>
        <w:t>报告中所列数据统计期限自</w:t>
      </w:r>
      <w:r>
        <w:rPr>
          <w:rFonts w:hint="default" w:ascii="Times New Roman" w:hAnsi="Times New Roman" w:eastAsia="仿宋_GB2312" w:cs="Times New Roman"/>
        </w:rPr>
        <w:t>202</w:t>
      </w:r>
      <w:r>
        <w:rPr>
          <w:rFonts w:hint="default" w:ascii="Times New Roman" w:hAnsi="Times New Roman" w:eastAsia="仿宋_GB2312" w:cs="Times New Roman"/>
          <w:lang w:val="en-US" w:eastAsia="zh-CN"/>
        </w:rPr>
        <w:t>5</w:t>
      </w:r>
      <w:r>
        <w:rPr>
          <w:rFonts w:hint="default" w:ascii="Times New Roman" w:hAnsi="Times New Roman" w:eastAsia="仿宋_GB2312" w:cs="Times New Roman"/>
        </w:rPr>
        <w:t>年1月1日始，至202</w:t>
      </w:r>
      <w:r>
        <w:rPr>
          <w:rFonts w:hint="default" w:ascii="Times New Roman" w:hAnsi="Times New Roman" w:eastAsia="仿宋_GB2312" w:cs="Times New Roman"/>
          <w:lang w:val="en-US" w:eastAsia="zh-CN"/>
        </w:rPr>
        <w:t>5</w:t>
      </w:r>
      <w:r>
        <w:rPr>
          <w:rFonts w:hint="default" w:ascii="Times New Roman" w:hAnsi="Times New Roman" w:eastAsia="仿宋_GB2312" w:cs="Times New Roman"/>
        </w:rPr>
        <w:t>年12月31日止。</w:t>
      </w:r>
      <w:r>
        <w:rPr>
          <w:rFonts w:hint="eastAsia" w:ascii="仿宋_GB2312" w:eastAsia="仿宋_GB2312"/>
        </w:rPr>
        <w:t>报告电子版可在高青县人民政府门户网站（www.gaoqing.gov.cn）查阅和下载。如对报告内容有疑问，请与</w:t>
      </w:r>
      <w:r>
        <w:rPr>
          <w:rFonts w:eastAsia="仿宋_GB2312"/>
          <w:szCs w:val="32"/>
        </w:rPr>
        <w:t>高青县田镇街道办事处党政办公室联系（地址：山东省淄博市高青县黄河路路903号；邮编：256300；电话：0533-6961342；传真：0533-6961342；邮箱：gqxtzjd@zb.shandong.cn）。</w:t>
      </w:r>
    </w:p>
    <w:p w14:paraId="0989D4DB">
      <w:pPr>
        <w:spacing w:line="600" w:lineRule="exact"/>
        <w:ind w:firstLine="640" w:firstLineChars="200"/>
        <w:rPr>
          <w:rFonts w:ascii="黑体" w:hAnsi="黑体" w:eastAsia="黑体"/>
          <w:szCs w:val="32"/>
        </w:rPr>
      </w:pPr>
      <w:r>
        <w:rPr>
          <w:rFonts w:hint="eastAsia" w:ascii="黑体" w:hAnsi="黑体" w:eastAsia="黑体"/>
          <w:szCs w:val="32"/>
        </w:rPr>
        <w:t>一、总体情况</w:t>
      </w:r>
    </w:p>
    <w:p w14:paraId="6F3226E7">
      <w:pPr>
        <w:spacing w:line="600" w:lineRule="exact"/>
        <w:ind w:firstLine="640" w:firstLineChars="200"/>
        <w:rPr>
          <w:rFonts w:hint="eastAsia" w:ascii="仿宋_GB2312" w:eastAsia="仿宋_GB2312"/>
          <w:szCs w:val="32"/>
          <w:lang w:eastAsia="zh-CN"/>
        </w:rPr>
      </w:pPr>
      <w:r>
        <w:rPr>
          <w:rFonts w:hint="default" w:ascii="Times New Roman" w:hAnsi="Times New Roman" w:eastAsia="仿宋_GB2312" w:cs="Times New Roman"/>
          <w:szCs w:val="32"/>
        </w:rPr>
        <w:t>202</w:t>
      </w:r>
      <w:r>
        <w:rPr>
          <w:rFonts w:hint="default" w:ascii="Times New Roman" w:hAnsi="Times New Roman" w:eastAsia="仿宋_GB2312" w:cs="Times New Roman"/>
          <w:szCs w:val="32"/>
          <w:lang w:val="en-US" w:eastAsia="zh-CN"/>
        </w:rPr>
        <w:t>5</w:t>
      </w:r>
      <w:r>
        <w:rPr>
          <w:rFonts w:hint="default" w:ascii="Times New Roman" w:hAnsi="Times New Roman" w:eastAsia="仿宋_GB2312" w:cs="Times New Roman"/>
          <w:szCs w:val="32"/>
        </w:rPr>
        <w:t>年，</w:t>
      </w:r>
      <w:r>
        <w:rPr>
          <w:rFonts w:hint="eastAsia" w:ascii="仿宋_GB2312" w:eastAsia="仿宋_GB2312"/>
          <w:szCs w:val="32"/>
        </w:rPr>
        <w:t>高青县</w:t>
      </w:r>
      <w:r>
        <w:rPr>
          <w:rFonts w:hint="eastAsia" w:ascii="仿宋_GB2312" w:eastAsia="仿宋_GB2312"/>
          <w:szCs w:val="32"/>
          <w:lang w:eastAsia="zh-CN"/>
        </w:rPr>
        <w:t>田镇街道办事处</w:t>
      </w:r>
      <w:r>
        <w:rPr>
          <w:rFonts w:hint="eastAsia" w:ascii="仿宋_GB2312" w:eastAsia="仿宋_GB2312"/>
          <w:szCs w:val="32"/>
        </w:rPr>
        <w:t>坚持以习近平新时代中国特色社会主义思想为指导，认真落实国家和省市县政务公开工作部署，</w:t>
      </w:r>
      <w:r>
        <w:rPr>
          <w:rFonts w:hint="eastAsia" w:ascii="仿宋_GB2312" w:eastAsia="仿宋_GB2312"/>
          <w:szCs w:val="32"/>
          <w:lang w:eastAsia="zh-CN"/>
        </w:rPr>
        <w:t>不断扩大政府信息公开的范畴、加深公开的层次，健全政务公开工作机制，切实推动政务公开工作规范有序。</w:t>
      </w:r>
    </w:p>
    <w:p w14:paraId="3E3454E9">
      <w:pPr>
        <w:spacing w:line="600" w:lineRule="exact"/>
        <w:ind w:firstLine="640" w:firstLineChars="200"/>
        <w:rPr>
          <w:rFonts w:hint="eastAsia" w:ascii="楷体_GB2312" w:eastAsia="楷体_GB2312"/>
        </w:rPr>
      </w:pPr>
      <w:r>
        <w:rPr>
          <w:rFonts w:hint="eastAsia" w:ascii="楷体_GB2312" w:eastAsia="楷体_GB2312"/>
        </w:rPr>
        <w:t>（一）主动公开</w:t>
      </w:r>
    </w:p>
    <w:p w14:paraId="41C03D4B">
      <w:pPr>
        <w:spacing w:line="600" w:lineRule="exact"/>
        <w:ind w:firstLine="640" w:firstLineChars="200"/>
        <w:rPr>
          <w:rFonts w:hint="eastAsia" w:ascii="Times New Roman" w:hAnsi="Times New Roman" w:eastAsia="仿宋_GB2312" w:cs="Times New Roman"/>
          <w:szCs w:val="32"/>
          <w:lang w:eastAsia="zh-CN"/>
        </w:rPr>
      </w:pPr>
      <w:r>
        <w:rPr>
          <w:rFonts w:hint="eastAsia" w:ascii="仿宋_GB2312" w:eastAsia="仿宋_GB2312"/>
          <w:szCs w:val="32"/>
        </w:rPr>
        <w:t>街道修订完善政府信息公开工作管理制度，出台信息公开审核、发布、更新工作细则，明确各岗位公开职责与时限要求，推动信息公开工作规范化、制度化开展。</w:t>
      </w:r>
      <w:r>
        <w:rPr>
          <w:rFonts w:hint="default" w:ascii="Times New Roman" w:hAnsi="Times New Roman" w:eastAsia="仿宋_GB2312" w:cs="Times New Roman"/>
          <w:szCs w:val="32"/>
        </w:rPr>
        <w:t>202</w:t>
      </w:r>
      <w:r>
        <w:rPr>
          <w:rFonts w:hint="default" w:ascii="Times New Roman" w:hAnsi="Times New Roman" w:eastAsia="仿宋_GB2312" w:cs="Times New Roman"/>
          <w:szCs w:val="32"/>
          <w:lang w:val="en-US" w:eastAsia="zh-CN"/>
        </w:rPr>
        <w:t>5</w:t>
      </w:r>
      <w:r>
        <w:rPr>
          <w:rFonts w:hint="default" w:ascii="Times New Roman" w:hAnsi="Times New Roman" w:eastAsia="仿宋_GB2312" w:cs="Times New Roman"/>
          <w:szCs w:val="32"/>
        </w:rPr>
        <w:t>年，累计公开各类信息</w:t>
      </w:r>
      <w:r>
        <w:rPr>
          <w:rFonts w:hint="eastAsia" w:eastAsia="仿宋_GB2312" w:cs="Times New Roman"/>
          <w:szCs w:val="32"/>
          <w:lang w:val="en-US" w:eastAsia="zh-CN"/>
        </w:rPr>
        <w:t>800</w:t>
      </w:r>
      <w:r>
        <w:rPr>
          <w:rFonts w:hint="default" w:ascii="Times New Roman" w:hAnsi="Times New Roman" w:eastAsia="仿宋_GB2312" w:cs="Times New Roman"/>
          <w:szCs w:val="32"/>
        </w:rPr>
        <w:t>余条，较上一年度增长</w:t>
      </w:r>
      <w:r>
        <w:rPr>
          <w:rFonts w:hint="eastAsia" w:eastAsia="仿宋_GB2312" w:cs="Times New Roman"/>
          <w:szCs w:val="32"/>
          <w:lang w:val="en-US" w:eastAsia="zh-CN"/>
        </w:rPr>
        <w:t>7</w:t>
      </w:r>
      <w:r>
        <w:rPr>
          <w:rFonts w:hint="default" w:ascii="Times New Roman" w:hAnsi="Times New Roman" w:eastAsia="仿宋_GB2312" w:cs="Times New Roman"/>
          <w:szCs w:val="32"/>
        </w:rPr>
        <w:t>%；其中，政府网站发布</w:t>
      </w:r>
      <w:r>
        <w:rPr>
          <w:rFonts w:hint="eastAsia" w:eastAsia="仿宋_GB2312" w:cs="Times New Roman"/>
          <w:szCs w:val="32"/>
          <w:lang w:val="en-US" w:eastAsia="zh-CN"/>
        </w:rPr>
        <w:t>3</w:t>
      </w:r>
      <w:r>
        <w:rPr>
          <w:rFonts w:hint="default" w:ascii="Times New Roman" w:hAnsi="Times New Roman" w:eastAsia="仿宋_GB2312" w:cs="Times New Roman"/>
          <w:szCs w:val="32"/>
        </w:rPr>
        <w:t>00余条，政务新媒体推送</w:t>
      </w:r>
      <w:r>
        <w:rPr>
          <w:rFonts w:hint="eastAsia" w:eastAsia="仿宋_GB2312" w:cs="Times New Roman"/>
          <w:szCs w:val="32"/>
          <w:lang w:val="en-US" w:eastAsia="zh-CN"/>
        </w:rPr>
        <w:t>2</w:t>
      </w:r>
      <w:r>
        <w:rPr>
          <w:rFonts w:hint="default" w:ascii="Times New Roman" w:hAnsi="Times New Roman" w:eastAsia="仿宋_GB2312" w:cs="Times New Roman"/>
          <w:szCs w:val="32"/>
        </w:rPr>
        <w:t>00余条。</w:t>
      </w:r>
      <w:r>
        <w:rPr>
          <w:rFonts w:hint="eastAsia" w:ascii="仿宋_GB2312" w:eastAsia="仿宋_GB2312"/>
          <w:szCs w:val="32"/>
        </w:rPr>
        <w:t>多措并举做好政策解读工作，针对惠民新政、办事流程调整等内容，通过图文解读、社区现场宣讲等形式开展解读，确保政策内涵清晰、群众易懂。</w:t>
      </w:r>
      <w:r>
        <w:rPr>
          <w:rFonts w:hint="default" w:ascii="Times New Roman" w:hAnsi="Times New Roman" w:eastAsia="仿宋_GB2312" w:cs="Times New Roman"/>
          <w:szCs w:val="32"/>
        </w:rPr>
        <w:t>重要工作会议邀请居民代表、商户代表</w:t>
      </w:r>
      <w:r>
        <w:rPr>
          <w:rFonts w:hint="eastAsia" w:eastAsia="仿宋_GB2312" w:cs="Times New Roman"/>
          <w:szCs w:val="32"/>
          <w:lang w:eastAsia="zh-CN"/>
        </w:rPr>
        <w:t>等</w:t>
      </w:r>
      <w:r>
        <w:rPr>
          <w:rFonts w:hint="default" w:ascii="Times New Roman" w:hAnsi="Times New Roman" w:eastAsia="仿宋_GB2312" w:cs="Times New Roman"/>
          <w:szCs w:val="32"/>
        </w:rPr>
        <w:t>列席</w:t>
      </w:r>
      <w:r>
        <w:rPr>
          <w:rFonts w:hint="eastAsia" w:eastAsia="仿宋_GB2312" w:cs="Times New Roman"/>
          <w:szCs w:val="32"/>
          <w:lang w:val="en-US" w:eastAsia="zh-CN"/>
        </w:rPr>
        <w:t>5</w:t>
      </w:r>
      <w:r>
        <w:rPr>
          <w:rFonts w:hint="default" w:ascii="Times New Roman" w:hAnsi="Times New Roman" w:eastAsia="仿宋_GB2312" w:cs="Times New Roman"/>
          <w:szCs w:val="32"/>
        </w:rPr>
        <w:t>次。高效办理政府信箱群众留言</w:t>
      </w:r>
      <w:r>
        <w:rPr>
          <w:rFonts w:hint="eastAsia" w:eastAsia="仿宋_GB2312" w:cs="Times New Roman"/>
          <w:szCs w:val="32"/>
          <w:lang w:val="en-US" w:eastAsia="zh-CN"/>
        </w:rPr>
        <w:t>10</w:t>
      </w:r>
      <w:r>
        <w:rPr>
          <w:rFonts w:hint="default" w:ascii="Times New Roman" w:hAnsi="Times New Roman" w:eastAsia="仿宋_GB2312" w:cs="Times New Roman"/>
          <w:szCs w:val="32"/>
        </w:rPr>
        <w:t>件，答复率100%</w:t>
      </w:r>
      <w:r>
        <w:rPr>
          <w:rFonts w:hint="eastAsia" w:eastAsia="仿宋_GB2312" w:cs="Times New Roman"/>
          <w:szCs w:val="32"/>
          <w:lang w:eastAsia="zh-CN"/>
        </w:rPr>
        <w:t>；</w:t>
      </w:r>
      <w:r>
        <w:rPr>
          <w:rFonts w:hint="default" w:ascii="Times New Roman" w:hAnsi="Times New Roman" w:eastAsia="仿宋_GB2312" w:cs="Times New Roman"/>
          <w:szCs w:val="32"/>
        </w:rPr>
        <w:t>全年共承办12345热线工单</w:t>
      </w:r>
      <w:r>
        <w:rPr>
          <w:rFonts w:hint="eastAsia" w:eastAsia="仿宋_GB2312" w:cs="Times New Roman"/>
          <w:szCs w:val="32"/>
          <w:lang w:val="en-US" w:eastAsia="zh-CN"/>
        </w:rPr>
        <w:t>3681</w:t>
      </w:r>
      <w:r>
        <w:rPr>
          <w:rFonts w:hint="default" w:ascii="Times New Roman" w:hAnsi="Times New Roman" w:eastAsia="仿宋_GB2312" w:cs="Times New Roman"/>
          <w:szCs w:val="32"/>
        </w:rPr>
        <w:t>件，群众满意率达</w:t>
      </w:r>
      <w:r>
        <w:rPr>
          <w:rFonts w:hint="eastAsia" w:eastAsia="仿宋_GB2312" w:cs="Times New Roman"/>
          <w:szCs w:val="32"/>
          <w:lang w:val="en-US" w:eastAsia="zh-CN"/>
        </w:rPr>
        <w:t>94.5</w:t>
      </w:r>
      <w:r>
        <w:rPr>
          <w:rFonts w:hint="default" w:ascii="Times New Roman" w:hAnsi="Times New Roman" w:eastAsia="仿宋_GB2312" w:cs="Times New Roman"/>
          <w:szCs w:val="32"/>
        </w:rPr>
        <w:t>%。开展政府开放日活动</w:t>
      </w:r>
      <w:r>
        <w:rPr>
          <w:rFonts w:hint="eastAsia" w:eastAsia="仿宋_GB2312" w:cs="Times New Roman"/>
          <w:szCs w:val="32"/>
          <w:lang w:val="en-US" w:eastAsia="zh-CN"/>
        </w:rPr>
        <w:t>5</w:t>
      </w:r>
      <w:r>
        <w:rPr>
          <w:rFonts w:hint="default" w:ascii="Times New Roman" w:hAnsi="Times New Roman" w:eastAsia="仿宋_GB2312" w:cs="Times New Roman"/>
          <w:szCs w:val="32"/>
        </w:rPr>
        <w:t>场，邀请群众走进街道、社区，直观了解工作流程</w:t>
      </w:r>
      <w:r>
        <w:rPr>
          <w:rFonts w:hint="eastAsia" w:eastAsia="仿宋_GB2312" w:cs="Times New Roman"/>
          <w:szCs w:val="32"/>
          <w:lang w:eastAsia="zh-CN"/>
        </w:rPr>
        <w:t>。</w:t>
      </w:r>
    </w:p>
    <w:p w14:paraId="4E61995C">
      <w:pPr>
        <w:spacing w:line="240" w:lineRule="auto"/>
        <w:ind w:firstLine="640" w:firstLineChars="200"/>
        <w:jc w:val="center"/>
        <w:rPr>
          <w:rFonts w:hint="eastAsia" w:ascii="Times New Roman" w:hAnsi="Times New Roman" w:eastAsia="仿宋_GB2312" w:cs="Times New Roman"/>
          <w:szCs w:val="32"/>
          <w:lang w:eastAsia="zh-CN"/>
        </w:rPr>
      </w:pPr>
      <w:r>
        <w:rPr>
          <w:rFonts w:hint="eastAsia" w:ascii="Times New Roman" w:hAnsi="Times New Roman" w:eastAsia="仿宋_GB2312" w:cs="Times New Roman"/>
          <w:szCs w:val="32"/>
          <w:lang w:eastAsia="zh-CN"/>
        </w:rPr>
        <w:drawing>
          <wp:inline distT="0" distB="0" distL="114300" distR="114300">
            <wp:extent cx="3456940" cy="1967865"/>
            <wp:effectExtent l="0" t="0" r="10160" b="13335"/>
            <wp:docPr id="1" name="图片 1" descr="eeaf983a6c0f1ef067e48646c44180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eaf983a6c0f1ef067e48646c441801a"/>
                    <pic:cNvPicPr>
                      <a:picLocks noChangeAspect="1"/>
                    </pic:cNvPicPr>
                  </pic:nvPicPr>
                  <pic:blipFill>
                    <a:blip r:embed="rId6"/>
                    <a:stretch>
                      <a:fillRect/>
                    </a:stretch>
                  </pic:blipFill>
                  <pic:spPr>
                    <a:xfrm>
                      <a:off x="0" y="0"/>
                      <a:ext cx="3456940" cy="1967865"/>
                    </a:xfrm>
                    <a:prstGeom prst="rect">
                      <a:avLst/>
                    </a:prstGeom>
                  </pic:spPr>
                </pic:pic>
              </a:graphicData>
            </a:graphic>
          </wp:inline>
        </w:drawing>
      </w:r>
    </w:p>
    <w:p w14:paraId="1EECEF08">
      <w:pPr>
        <w:spacing w:line="600" w:lineRule="exact"/>
        <w:ind w:firstLine="640" w:firstLineChars="200"/>
        <w:rPr>
          <w:rFonts w:hint="eastAsia" w:ascii="楷体_GB2312" w:eastAsia="楷体_GB2312"/>
        </w:rPr>
      </w:pPr>
      <w:r>
        <w:rPr>
          <w:rFonts w:hint="eastAsia" w:ascii="楷体_GB2312" w:eastAsia="楷体_GB2312"/>
        </w:rPr>
        <w:t>（二）依申请公开</w:t>
      </w:r>
    </w:p>
    <w:p w14:paraId="03E07914">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配备专职人员统筹负责办理</w:t>
      </w:r>
      <w:r>
        <w:rPr>
          <w:rFonts w:hint="eastAsia" w:eastAsia="仿宋_GB2312" w:cs="Times New Roman"/>
          <w:sz w:val="32"/>
          <w:szCs w:val="32"/>
          <w:lang w:val="en-US" w:eastAsia="zh-CN"/>
        </w:rPr>
        <w:t>政府信息公开申请</w:t>
      </w:r>
      <w:r>
        <w:rPr>
          <w:rFonts w:hint="default" w:ascii="Times New Roman" w:hAnsi="Times New Roman" w:eastAsia="仿宋_GB2312" w:cs="Times New Roman"/>
          <w:sz w:val="32"/>
          <w:szCs w:val="32"/>
        </w:rPr>
        <w:t>事宜</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对受理、审核、办理、答复、归档等关键环节实施闭环管理，全面提升依申请公开工作</w:t>
      </w:r>
      <w:r>
        <w:rPr>
          <w:rFonts w:hint="eastAsia" w:eastAsia="仿宋_GB2312" w:cs="Times New Roman"/>
          <w:sz w:val="32"/>
          <w:szCs w:val="32"/>
          <w:lang w:val="en-US" w:eastAsia="zh-CN"/>
        </w:rPr>
        <w:t>质效</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年未收到政府信息公开申请，上年度结转0件。依申请公开政府信息未收取任何费用。未因政府信息公开被申请行政复议、提起行政诉讼。</w:t>
      </w:r>
    </w:p>
    <w:p w14:paraId="4E5C0E5E">
      <w:pPr>
        <w:spacing w:line="600" w:lineRule="exact"/>
        <w:jc w:val="left"/>
        <w:rPr>
          <w:rFonts w:ascii="楷体_GB2312" w:eastAsia="楷体_GB2312"/>
        </w:rPr>
      </w:pPr>
      <w:r>
        <w:rPr>
          <w:rFonts w:hint="eastAsia" w:ascii="楷体_GB2312" w:eastAsia="楷体_GB2312"/>
        </w:rPr>
        <w:t>（三）政府信息管理</w:t>
      </w:r>
    </w:p>
    <w:p w14:paraId="54153E2C">
      <w:pPr>
        <w:spacing w:line="560" w:lineRule="exact"/>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Cs w:val="32"/>
        </w:rPr>
        <w:t>常态化推进信息更新清理，保障公开信息精准有效</w:t>
      </w:r>
      <w:r>
        <w:rPr>
          <w:rFonts w:hint="eastAsia" w:eastAsia="仿宋_GB2312" w:cs="Times New Roman"/>
          <w:szCs w:val="32"/>
          <w:lang w:eastAsia="zh-CN"/>
        </w:rPr>
        <w:t>。年末</w:t>
      </w:r>
      <w:r>
        <w:rPr>
          <w:rFonts w:hint="default" w:ascii="Times New Roman" w:hAnsi="Times New Roman" w:eastAsia="仿宋_GB2312" w:cs="Times New Roman"/>
          <w:sz w:val="32"/>
          <w:szCs w:val="32"/>
        </w:rPr>
        <w:t>组织开展</w:t>
      </w:r>
      <w:r>
        <w:rPr>
          <w:rFonts w:hint="eastAsia" w:eastAsia="仿宋_GB2312" w:cs="Times New Roman"/>
          <w:sz w:val="32"/>
          <w:szCs w:val="32"/>
          <w:lang w:eastAsia="zh-CN"/>
        </w:rPr>
        <w:t>一次</w:t>
      </w:r>
      <w:r>
        <w:rPr>
          <w:rFonts w:hint="default" w:ascii="Times New Roman" w:hAnsi="Times New Roman" w:eastAsia="仿宋_GB2312" w:cs="Times New Roman"/>
          <w:sz w:val="32"/>
          <w:szCs w:val="32"/>
        </w:rPr>
        <w:t>信息公开“年度大扫除”专项行动，重点清理失效废止文件。健全信息公开前审核机制</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明确所有拟公开信息必须经过“科室初审→分管领导复审→</w:t>
      </w:r>
      <w:r>
        <w:rPr>
          <w:rFonts w:hint="eastAsia" w:eastAsia="仿宋_GB2312" w:cs="Times New Roman"/>
          <w:sz w:val="32"/>
          <w:szCs w:val="32"/>
          <w:lang w:eastAsia="zh-CN"/>
        </w:rPr>
        <w:t>党政</w:t>
      </w:r>
      <w:r>
        <w:rPr>
          <w:rFonts w:hint="default" w:ascii="Times New Roman" w:hAnsi="Times New Roman" w:eastAsia="仿宋_GB2312" w:cs="Times New Roman"/>
          <w:sz w:val="32"/>
          <w:szCs w:val="32"/>
        </w:rPr>
        <w:t>办终审”三级审核。健全保密审查工作机制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明确保密审查的适用范围、审查流程、责任分工和追责机制，将保密审查嵌入信息生成、审核、发布全流程</w:t>
      </w:r>
      <w:r>
        <w:rPr>
          <w:rFonts w:hint="eastAsia" w:eastAsia="仿宋_GB2312" w:cs="Times New Roman"/>
          <w:sz w:val="32"/>
          <w:szCs w:val="32"/>
          <w:lang w:eastAsia="zh-CN"/>
        </w:rPr>
        <w:t>。</w:t>
      </w:r>
    </w:p>
    <w:p w14:paraId="1289873F">
      <w:pPr>
        <w:spacing w:line="600" w:lineRule="exact"/>
        <w:jc w:val="left"/>
        <w:rPr>
          <w:rFonts w:ascii="楷体_GB2312" w:eastAsia="楷体_GB2312"/>
        </w:rPr>
      </w:pPr>
      <w:r>
        <w:rPr>
          <w:rFonts w:hint="eastAsia" w:ascii="楷体_GB2312" w:eastAsia="楷体_GB2312"/>
        </w:rPr>
        <w:t>（四）政府信息公开平台建设</w:t>
      </w:r>
    </w:p>
    <w:p w14:paraId="0D796917">
      <w:pPr>
        <w:spacing w:line="600" w:lineRule="exact"/>
        <w:jc w:val="left"/>
        <w:rPr>
          <w:rFonts w:hint="default" w:ascii="Times New Roman" w:hAnsi="Times New Roman" w:eastAsia="仿宋_GB2312" w:cs="Times New Roman"/>
          <w:szCs w:val="32"/>
        </w:rPr>
      </w:pPr>
      <w:r>
        <w:rPr>
          <w:rFonts w:hint="eastAsia" w:eastAsia="仿宋_GB2312" w:cs="Times New Roman"/>
          <w:szCs w:val="32"/>
          <w:lang w:val="en-US" w:eastAsia="zh-CN"/>
        </w:rPr>
        <w:t>维护好政府网站栏目，保障信息发布。</w:t>
      </w:r>
      <w:r>
        <w:rPr>
          <w:rFonts w:hint="default" w:ascii="Times New Roman" w:hAnsi="Times New Roman" w:eastAsia="仿宋_GB2312" w:cs="Times New Roman"/>
          <w:szCs w:val="32"/>
        </w:rPr>
        <w:t>依托“最高青”APP平台常态化公开</w:t>
      </w:r>
      <w:r>
        <w:rPr>
          <w:rFonts w:hint="eastAsia" w:eastAsia="仿宋_GB2312" w:cs="Times New Roman"/>
          <w:szCs w:val="32"/>
          <w:lang w:val="en-US" w:eastAsia="zh-CN"/>
        </w:rPr>
        <w:t>政府</w:t>
      </w:r>
      <w:r>
        <w:rPr>
          <w:rFonts w:hint="default" w:ascii="Times New Roman" w:hAnsi="Times New Roman" w:eastAsia="仿宋_GB2312" w:cs="Times New Roman"/>
          <w:szCs w:val="32"/>
        </w:rPr>
        <w:t>信息，保障线上公开的连续性与时效性</w:t>
      </w:r>
      <w:r>
        <w:rPr>
          <w:rFonts w:hint="eastAsia" w:eastAsia="仿宋_GB2312" w:cs="Times New Roman"/>
          <w:szCs w:val="32"/>
          <w:lang w:eastAsia="zh-CN"/>
        </w:rPr>
        <w:t>。</w:t>
      </w:r>
      <w:r>
        <w:rPr>
          <w:rFonts w:hint="default" w:ascii="Times New Roman" w:hAnsi="Times New Roman" w:eastAsia="仿宋_GB2312" w:cs="Times New Roman"/>
          <w:szCs w:val="32"/>
        </w:rPr>
        <w:t>创新推出线下查阅检索、线上事项代办等便民举措，进一步提升政务公开服务的可及性与便捷度。</w:t>
      </w:r>
    </w:p>
    <w:p w14:paraId="2CE9F788">
      <w:pPr>
        <w:spacing w:line="600" w:lineRule="exact"/>
        <w:jc w:val="left"/>
        <w:rPr>
          <w:rFonts w:ascii="楷体_GB2312" w:eastAsia="楷体_GB2312"/>
        </w:rPr>
      </w:pPr>
      <w:r>
        <w:rPr>
          <w:rFonts w:hint="eastAsia" w:ascii="楷体_GB2312" w:eastAsia="楷体_GB2312"/>
        </w:rPr>
        <w:t>（五）监督保障</w:t>
      </w:r>
    </w:p>
    <w:p w14:paraId="027428D2">
      <w:pPr>
        <w:spacing w:line="600" w:lineRule="exact"/>
        <w:jc w:val="left"/>
        <w:rPr>
          <w:rFonts w:ascii="黑体" w:hAnsi="黑体" w:eastAsia="黑体"/>
          <w:szCs w:val="32"/>
        </w:rPr>
      </w:pPr>
      <w:r>
        <w:rPr>
          <w:rFonts w:hint="default" w:ascii="Times New Roman" w:hAnsi="Times New Roman" w:eastAsia="仿宋_GB2312" w:cs="Times New Roman"/>
          <w:szCs w:val="32"/>
        </w:rPr>
        <w:t>强化组织领导体系，压实工作主体责任</w:t>
      </w:r>
      <w:r>
        <w:rPr>
          <w:rFonts w:hint="eastAsia" w:eastAsia="仿宋_GB2312" w:cs="Times New Roman"/>
          <w:szCs w:val="32"/>
          <w:lang w:eastAsia="zh-CN"/>
        </w:rPr>
        <w:t>，</w:t>
      </w:r>
      <w:r>
        <w:rPr>
          <w:rFonts w:hint="default" w:ascii="Times New Roman" w:hAnsi="Times New Roman" w:eastAsia="仿宋_GB2312" w:cs="Times New Roman"/>
          <w:szCs w:val="32"/>
        </w:rPr>
        <w:t>配备</w:t>
      </w:r>
      <w:r>
        <w:rPr>
          <w:rFonts w:hint="eastAsia" w:eastAsia="仿宋_GB2312" w:cs="Times New Roman"/>
          <w:szCs w:val="32"/>
          <w:lang w:val="en-US" w:eastAsia="zh-CN"/>
        </w:rPr>
        <w:t>1</w:t>
      </w:r>
      <w:r>
        <w:rPr>
          <w:rFonts w:hint="default" w:ascii="Times New Roman" w:hAnsi="Times New Roman" w:eastAsia="仿宋_GB2312" w:cs="Times New Roman"/>
          <w:szCs w:val="32"/>
        </w:rPr>
        <w:t>名专职工作人员，负责政务公开日常组织、协调与执行。定期召开工作例会</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针对政务公开工作中的关键环节和突出问题，不定期召开专题会议集中研判。定期</w:t>
      </w:r>
      <w:r>
        <w:rPr>
          <w:rFonts w:hint="eastAsia" w:eastAsia="仿宋_GB2312" w:cs="Times New Roman"/>
          <w:szCs w:val="32"/>
          <w:lang w:eastAsia="zh-CN"/>
        </w:rPr>
        <w:t>开展“</w:t>
      </w:r>
      <w:r>
        <w:rPr>
          <w:rFonts w:hint="default" w:ascii="Times New Roman" w:hAnsi="Times New Roman" w:eastAsia="仿宋_GB2312" w:cs="Times New Roman"/>
          <w:szCs w:val="32"/>
        </w:rPr>
        <w:t>集中培训+常态化分散学习”相结合的原则，全年累计开展各类政务公开培训6次，其中集中专题培训4次、以会代训2次，确保培训频次与工作推进节奏同频同步</w:t>
      </w:r>
      <w:r>
        <w:rPr>
          <w:rFonts w:hint="eastAsia" w:eastAsia="仿宋_GB2312" w:cs="Times New Roman"/>
          <w:szCs w:val="32"/>
          <w:lang w:eastAsia="zh-CN"/>
        </w:rPr>
        <w:t>。</w:t>
      </w:r>
    </w:p>
    <w:p w14:paraId="406123EC">
      <w:pPr>
        <w:spacing w:after="156" w:afterLines="50" w:line="240" w:lineRule="auto"/>
        <w:ind w:firstLine="640" w:firstLineChars="200"/>
        <w:rPr>
          <w:rFonts w:hint="eastAsia" w:ascii="黑体" w:hAnsi="黑体" w:eastAsia="黑体"/>
          <w:szCs w:val="32"/>
        </w:rPr>
      </w:pPr>
    </w:p>
    <w:p w14:paraId="0E895658">
      <w:pPr>
        <w:spacing w:after="156" w:afterLines="50" w:line="240" w:lineRule="auto"/>
        <w:ind w:firstLine="640" w:firstLineChars="200"/>
        <w:rPr>
          <w:rFonts w:ascii="黑体" w:hAnsi="黑体" w:eastAsia="黑体"/>
          <w:szCs w:val="32"/>
        </w:rPr>
      </w:pPr>
      <w:r>
        <w:rPr>
          <w:rFonts w:hint="eastAsia" w:ascii="黑体" w:hAnsi="黑体" w:eastAsia="黑体"/>
          <w:szCs w:val="32"/>
        </w:rPr>
        <w:t>二、主动公开政府信息情况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9"/>
        <w:gridCol w:w="2130"/>
        <w:gridCol w:w="2131"/>
        <w:gridCol w:w="2131"/>
      </w:tblGrid>
      <w:tr w14:paraId="533AC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5A60B3D9">
            <w:pPr>
              <w:spacing w:line="240" w:lineRule="auto"/>
              <w:ind w:firstLine="0"/>
              <w:jc w:val="center"/>
              <w:rPr>
                <w:rFonts w:ascii="黑体" w:hAnsi="黑体" w:eastAsia="黑体"/>
                <w:sz w:val="20"/>
              </w:rPr>
            </w:pPr>
            <w:r>
              <w:rPr>
                <w:rFonts w:hint="eastAsia" w:ascii="宋体" w:hAnsi="宋体" w:eastAsia="宋体" w:cs="宋体"/>
                <w:snapToGrid/>
                <w:color w:val="000000"/>
                <w:sz w:val="20"/>
              </w:rPr>
              <w:t>第二十条第（一）项</w:t>
            </w:r>
          </w:p>
        </w:tc>
      </w:tr>
      <w:tr w14:paraId="6018E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76FC0D9F">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2130" w:type="dxa"/>
            <w:vAlign w:val="center"/>
          </w:tcPr>
          <w:p w14:paraId="58455069">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w:t>
            </w:r>
            <w:r>
              <w:rPr>
                <w:rFonts w:ascii="宋体" w:hAnsi="宋体" w:eastAsia="宋体" w:cs="Calibri"/>
                <w:snapToGrid/>
                <w:sz w:val="20"/>
              </w:rPr>
              <w:t>制</w:t>
            </w:r>
            <w:r>
              <w:rPr>
                <w:rFonts w:hint="eastAsia" w:ascii="宋体" w:hAnsi="宋体" w:eastAsia="宋体" w:cs="宋体"/>
                <w:snapToGrid/>
                <w:sz w:val="20"/>
              </w:rPr>
              <w:t>发件</w:t>
            </w:r>
            <w:r>
              <w:rPr>
                <w:rFonts w:ascii="宋体" w:hAnsi="宋体" w:eastAsia="宋体" w:cs="Calibri"/>
                <w:snapToGrid/>
                <w:sz w:val="20"/>
              </w:rPr>
              <w:t>数</w:t>
            </w:r>
          </w:p>
        </w:tc>
        <w:tc>
          <w:tcPr>
            <w:tcW w:w="2131" w:type="dxa"/>
            <w:vAlign w:val="center"/>
          </w:tcPr>
          <w:p w14:paraId="7FD4701A">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本年废止件数</w:t>
            </w:r>
          </w:p>
        </w:tc>
        <w:tc>
          <w:tcPr>
            <w:tcW w:w="2131" w:type="dxa"/>
            <w:vAlign w:val="center"/>
          </w:tcPr>
          <w:p w14:paraId="1EE1D7BB">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现行有效件</w:t>
            </w:r>
            <w:r>
              <w:rPr>
                <w:rFonts w:ascii="宋体" w:hAnsi="宋体" w:eastAsia="宋体" w:cs="Calibri"/>
                <w:snapToGrid/>
                <w:sz w:val="20"/>
              </w:rPr>
              <w:t>数</w:t>
            </w:r>
          </w:p>
        </w:tc>
      </w:tr>
      <w:tr w14:paraId="49245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58959E1A">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规章</w:t>
            </w:r>
          </w:p>
        </w:tc>
        <w:tc>
          <w:tcPr>
            <w:tcW w:w="2130" w:type="dxa"/>
            <w:vAlign w:val="center"/>
          </w:tcPr>
          <w:p w14:paraId="66A2F9D2">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c>
          <w:tcPr>
            <w:tcW w:w="2131" w:type="dxa"/>
            <w:vAlign w:val="center"/>
          </w:tcPr>
          <w:p w14:paraId="1938183A">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c>
          <w:tcPr>
            <w:tcW w:w="2131" w:type="dxa"/>
            <w:vAlign w:val="center"/>
          </w:tcPr>
          <w:p w14:paraId="20457446">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r>
      <w:tr w14:paraId="0806A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3B96482C">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行政规范性文件</w:t>
            </w:r>
          </w:p>
        </w:tc>
        <w:tc>
          <w:tcPr>
            <w:tcW w:w="2130" w:type="dxa"/>
            <w:vAlign w:val="center"/>
          </w:tcPr>
          <w:p w14:paraId="21769ED2">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c>
          <w:tcPr>
            <w:tcW w:w="2131" w:type="dxa"/>
            <w:vAlign w:val="center"/>
          </w:tcPr>
          <w:p w14:paraId="2B4347A5">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c>
          <w:tcPr>
            <w:tcW w:w="2131" w:type="dxa"/>
            <w:vAlign w:val="center"/>
          </w:tcPr>
          <w:p w14:paraId="2829B5EA">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r>
      <w:tr w14:paraId="3B36C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69C9515F">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第二十条第（五）项</w:t>
            </w:r>
          </w:p>
        </w:tc>
      </w:tr>
      <w:tr w14:paraId="28D09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42179A65">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14:paraId="0323A2E2">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14:paraId="1778B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20F03BBA">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行政许可</w:t>
            </w:r>
          </w:p>
        </w:tc>
        <w:tc>
          <w:tcPr>
            <w:tcW w:w="6392" w:type="dxa"/>
            <w:gridSpan w:val="3"/>
            <w:vAlign w:val="center"/>
          </w:tcPr>
          <w:p w14:paraId="2B627867">
            <w:pPr>
              <w:spacing w:line="240" w:lineRule="auto"/>
              <w:ind w:firstLine="0"/>
              <w:jc w:val="center"/>
              <w:rPr>
                <w:rFonts w:hint="default" w:ascii="黑体" w:hAnsi="黑体" w:eastAsia="黑体"/>
                <w:sz w:val="20"/>
                <w:lang w:val="en-US" w:eastAsia="zh-CN"/>
              </w:rPr>
            </w:pPr>
            <w:r>
              <w:rPr>
                <w:rFonts w:hint="eastAsia" w:ascii="黑体" w:hAnsi="黑体" w:eastAsia="黑体"/>
                <w:sz w:val="20"/>
                <w:lang w:val="en-US" w:eastAsia="zh-CN"/>
              </w:rPr>
              <w:t>14</w:t>
            </w:r>
            <w:bookmarkStart w:id="0" w:name="_GoBack"/>
            <w:bookmarkEnd w:id="0"/>
          </w:p>
        </w:tc>
      </w:tr>
      <w:tr w14:paraId="61B13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1C26711B">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第二十条第（六）项</w:t>
            </w:r>
          </w:p>
        </w:tc>
      </w:tr>
      <w:tr w14:paraId="1D758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6EA53027">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14:paraId="4B76AD0B">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14:paraId="64EDB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5C1BB503">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行政处罚</w:t>
            </w:r>
          </w:p>
        </w:tc>
        <w:tc>
          <w:tcPr>
            <w:tcW w:w="6392" w:type="dxa"/>
            <w:gridSpan w:val="3"/>
            <w:vAlign w:val="center"/>
          </w:tcPr>
          <w:p w14:paraId="642334FE">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r>
      <w:tr w14:paraId="2F56B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5F6B9B26">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行政强制</w:t>
            </w:r>
          </w:p>
        </w:tc>
        <w:tc>
          <w:tcPr>
            <w:tcW w:w="6392" w:type="dxa"/>
            <w:gridSpan w:val="3"/>
            <w:vAlign w:val="center"/>
          </w:tcPr>
          <w:p w14:paraId="029955C5">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r>
      <w:tr w14:paraId="5F0C4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04DE644F">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第二十条第（八）项</w:t>
            </w:r>
          </w:p>
        </w:tc>
      </w:tr>
      <w:tr w14:paraId="5108D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22A15EC1">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14:paraId="213BEE48">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本年收费金额（单位：万元）</w:t>
            </w:r>
          </w:p>
        </w:tc>
      </w:tr>
      <w:tr w14:paraId="0422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0A2424D0">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行政事业性收费</w:t>
            </w:r>
          </w:p>
        </w:tc>
        <w:tc>
          <w:tcPr>
            <w:tcW w:w="6392" w:type="dxa"/>
            <w:gridSpan w:val="3"/>
            <w:vAlign w:val="center"/>
          </w:tcPr>
          <w:p w14:paraId="34ED15CA">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r>
    </w:tbl>
    <w:p w14:paraId="2E6CF573">
      <w:pPr>
        <w:spacing w:line="240" w:lineRule="auto"/>
        <w:ind w:firstLine="0"/>
        <w:rPr>
          <w:rFonts w:ascii="黑体" w:hAnsi="黑体" w:eastAsia="黑体"/>
          <w:sz w:val="30"/>
          <w:szCs w:val="30"/>
        </w:rPr>
      </w:pPr>
    </w:p>
    <w:p w14:paraId="6335CF9C">
      <w:pPr>
        <w:spacing w:line="240" w:lineRule="auto"/>
        <w:ind w:firstLine="0"/>
        <w:rPr>
          <w:rFonts w:ascii="黑体" w:hAnsi="黑体" w:eastAsia="黑体"/>
          <w:sz w:val="30"/>
          <w:szCs w:val="30"/>
        </w:rPr>
      </w:pPr>
    </w:p>
    <w:p w14:paraId="5782912A">
      <w:pPr>
        <w:spacing w:line="240" w:lineRule="auto"/>
        <w:ind w:firstLine="0"/>
        <w:rPr>
          <w:rFonts w:ascii="黑体" w:hAnsi="黑体" w:eastAsia="黑体"/>
          <w:sz w:val="30"/>
          <w:szCs w:val="30"/>
        </w:rPr>
      </w:pPr>
    </w:p>
    <w:p w14:paraId="3447DCEB">
      <w:pPr>
        <w:spacing w:line="240" w:lineRule="auto"/>
        <w:ind w:firstLine="0"/>
        <w:rPr>
          <w:rFonts w:ascii="黑体" w:hAnsi="黑体" w:eastAsia="黑体"/>
          <w:sz w:val="30"/>
          <w:szCs w:val="30"/>
        </w:rPr>
      </w:pPr>
    </w:p>
    <w:p w14:paraId="40220179">
      <w:pPr>
        <w:spacing w:line="240" w:lineRule="auto"/>
        <w:ind w:firstLine="0"/>
        <w:rPr>
          <w:rFonts w:ascii="黑体" w:hAnsi="黑体" w:eastAsia="黑体"/>
          <w:sz w:val="30"/>
          <w:szCs w:val="30"/>
        </w:rPr>
      </w:pPr>
    </w:p>
    <w:p w14:paraId="49E88C7A">
      <w:pPr>
        <w:spacing w:line="240" w:lineRule="auto"/>
        <w:ind w:firstLine="0"/>
        <w:rPr>
          <w:rFonts w:ascii="黑体" w:hAnsi="黑体" w:eastAsia="黑体"/>
          <w:sz w:val="30"/>
          <w:szCs w:val="30"/>
        </w:rPr>
      </w:pPr>
    </w:p>
    <w:p w14:paraId="4C56C7BD">
      <w:pPr>
        <w:spacing w:line="240" w:lineRule="auto"/>
        <w:ind w:firstLine="0"/>
        <w:rPr>
          <w:rFonts w:ascii="黑体" w:hAnsi="黑体" w:eastAsia="黑体"/>
          <w:sz w:val="30"/>
          <w:szCs w:val="30"/>
        </w:rPr>
      </w:pPr>
    </w:p>
    <w:p w14:paraId="7633B01D">
      <w:pPr>
        <w:spacing w:line="240" w:lineRule="auto"/>
        <w:ind w:firstLine="0"/>
        <w:rPr>
          <w:rFonts w:ascii="黑体" w:hAnsi="黑体" w:eastAsia="黑体"/>
          <w:sz w:val="30"/>
          <w:szCs w:val="30"/>
        </w:rPr>
      </w:pPr>
    </w:p>
    <w:p w14:paraId="67BB6FFF">
      <w:pPr>
        <w:spacing w:line="240" w:lineRule="auto"/>
        <w:ind w:firstLine="0"/>
        <w:rPr>
          <w:rFonts w:ascii="黑体" w:hAnsi="黑体" w:eastAsia="黑体"/>
          <w:sz w:val="30"/>
          <w:szCs w:val="30"/>
        </w:rPr>
      </w:pPr>
    </w:p>
    <w:p w14:paraId="6ECF6C3E">
      <w:pPr>
        <w:spacing w:line="240" w:lineRule="auto"/>
        <w:ind w:firstLine="0"/>
        <w:rPr>
          <w:rFonts w:ascii="黑体" w:hAnsi="黑体" w:eastAsia="黑体"/>
          <w:sz w:val="30"/>
          <w:szCs w:val="30"/>
        </w:rPr>
      </w:pPr>
    </w:p>
    <w:p w14:paraId="2A616831">
      <w:pPr>
        <w:spacing w:after="156" w:afterLines="50" w:line="240" w:lineRule="auto"/>
        <w:ind w:firstLine="640" w:firstLineChars="200"/>
        <w:rPr>
          <w:rFonts w:ascii="黑体" w:hAnsi="黑体" w:eastAsia="黑体"/>
          <w:szCs w:val="32"/>
        </w:rPr>
      </w:pPr>
      <w:r>
        <w:rPr>
          <w:rFonts w:hint="eastAsia" w:ascii="黑体" w:hAnsi="黑体" w:eastAsia="黑体"/>
          <w:szCs w:val="32"/>
        </w:rPr>
        <w:t>三、收到和处理政府信息公开申请情况</w:t>
      </w:r>
    </w:p>
    <w:tbl>
      <w:tblPr>
        <w:tblStyle w:val="5"/>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14:paraId="791018EF">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14:paraId="2A34A59F">
            <w:pPr>
              <w:widowControl/>
              <w:autoSpaceDE/>
              <w:autoSpaceDN/>
              <w:snapToGrid/>
              <w:spacing w:line="240" w:lineRule="auto"/>
              <w:ind w:firstLine="0"/>
              <w:jc w:val="left"/>
              <w:rPr>
                <w:rFonts w:ascii="宋体" w:hAnsi="宋体" w:eastAsia="宋体" w:cs="宋体"/>
                <w:snapToGrid/>
                <w:sz w:val="24"/>
                <w:szCs w:val="24"/>
              </w:rPr>
            </w:pPr>
            <w:r>
              <w:rPr>
                <w:rFonts w:hint="eastAsia" w:ascii="楷体" w:hAnsi="楷体" w:eastAsia="楷体" w:cs="宋体"/>
                <w:snapToGrid/>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2EC8639A">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申请人情况</w:t>
            </w:r>
          </w:p>
        </w:tc>
      </w:tr>
      <w:tr w14:paraId="326C088F">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6A55FEBC">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14:paraId="09EF7FAD">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4DDD5B6E">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14:paraId="25717AA5">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r>
      <w:tr w14:paraId="19E6F2B5">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6872802A">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continue"/>
            <w:tcBorders>
              <w:top w:val="nil"/>
              <w:left w:val="nil"/>
              <w:bottom w:val="single" w:color="auto" w:sz="8" w:space="0"/>
              <w:right w:val="single" w:color="auto" w:sz="8" w:space="0"/>
            </w:tcBorders>
            <w:vAlign w:val="center"/>
          </w:tcPr>
          <w:p w14:paraId="01950A51">
            <w:pPr>
              <w:widowControl/>
              <w:autoSpaceDE/>
              <w:autoSpaceDN/>
              <w:snapToGrid/>
              <w:spacing w:line="240" w:lineRule="auto"/>
              <w:ind w:firstLine="0"/>
              <w:jc w:val="left"/>
              <w:rPr>
                <w:rFonts w:ascii="宋体" w:hAnsi="宋体" w:eastAsia="宋体" w:cs="宋体"/>
                <w:snapToGrid/>
                <w:sz w:val="24"/>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62FBF21">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商业</w:t>
            </w:r>
          </w:p>
          <w:p w14:paraId="6CC2DF09">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EC19C40">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科研</w:t>
            </w:r>
          </w:p>
          <w:p w14:paraId="0749E38E">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6625FF39">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13089125">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17DF5577">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p>
        </w:tc>
        <w:tc>
          <w:tcPr>
            <w:tcW w:w="756" w:type="dxa"/>
            <w:vMerge w:val="continue"/>
            <w:tcBorders>
              <w:top w:val="single" w:color="auto" w:sz="8" w:space="0"/>
              <w:left w:val="nil"/>
              <w:bottom w:val="inset" w:color="auto" w:sz="8" w:space="0"/>
              <w:right w:val="single" w:color="auto" w:sz="8" w:space="0"/>
            </w:tcBorders>
            <w:vAlign w:val="center"/>
          </w:tcPr>
          <w:p w14:paraId="7659B2BA">
            <w:pPr>
              <w:widowControl/>
              <w:autoSpaceDE/>
              <w:autoSpaceDN/>
              <w:snapToGrid/>
              <w:spacing w:line="240" w:lineRule="auto"/>
              <w:ind w:firstLine="0"/>
              <w:jc w:val="left"/>
              <w:rPr>
                <w:rFonts w:ascii="宋体" w:hAnsi="宋体" w:eastAsia="宋体" w:cs="宋体"/>
                <w:snapToGrid/>
                <w:sz w:val="24"/>
                <w:szCs w:val="24"/>
              </w:rPr>
            </w:pPr>
          </w:p>
        </w:tc>
      </w:tr>
      <w:tr w14:paraId="702087E2">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18485A1C">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EDD1BFC">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B788E91">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1131699">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BC3C3FD">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65FD775">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8FC6453">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D1D3E2E">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r>
      <w:tr w14:paraId="4A6AF980">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4C61F909">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B8ACB72">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DF3B2C0">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E272801">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BF346FD">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E51AA4D">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1CC7EA1">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CA55AAA">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r>
      <w:tr w14:paraId="5B7BE5FE">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14:paraId="6EEBC134">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502421B4">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4D8AA4D">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CBAB241">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31BBB15">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1F059EA">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9BEC17E">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0BFAD06">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5B290B4F">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r>
      <w:tr w14:paraId="675F52E7">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DCD7DAE">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5F4371BD">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（二）部分公开</w:t>
            </w:r>
            <w:r>
              <w:rPr>
                <w:rFonts w:hint="eastAsia" w:ascii="楷体" w:hAnsi="楷体" w:eastAsia="楷体" w:cs="宋体"/>
                <w:snapToGrid/>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539129C">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4A63077">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C670F3C">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B07AD2D">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91A911D">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B5BC8A9">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9B394EE">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r>
      <w:tr w14:paraId="3C8A539B">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4F86550">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0D4BAD82">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096EA6B">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A2F5054">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E7505BC">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1F14228">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66476E9">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1EE55A7">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EE05A26">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05245832">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r>
      <w:tr w14:paraId="198C2E78">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A89E751">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6B5018F0">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72CC371">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793E284">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B0975FB">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00D3AC4">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77B4F3B">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0D7F4CC">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4DA32FE">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05B608EE">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r>
      <w:tr w14:paraId="3870470F">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66FB3C7">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5909DB4E">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446DCCF">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48AB855">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849D8F6">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CFAC65B">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097BC5C">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7FDF069">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3B872C8">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BCEBB26">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r>
      <w:tr w14:paraId="1D75A2AB">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7447464">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4CC35A9A">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92545AA">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732CC9B">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08D6398">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34ED3CE">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BD4C8A8">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87D5323">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63BEB21">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093C2C89">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r>
      <w:tr w14:paraId="78C42106">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056CD97">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2D68AD50">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3500885">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91CA883">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30E404B">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06B3FCE">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59B62CF">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B08FFC4">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59C83D3">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19DC148E">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r>
      <w:tr w14:paraId="29707B00">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A232DAB">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1D69980A">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5E2E9BF">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A7D0BED">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B194799">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9C3DAA7">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E8B3693">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128F58A">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3563936">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962C74C">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r>
      <w:tr w14:paraId="504D418B">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6E906A4">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3889EF1D">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7BF389B">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6180636">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72C874B">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5FE0FE2">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4ED7A8E">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7419968">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E8644D9">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BA88474">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r>
      <w:tr w14:paraId="601FBA9C">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9569F9C">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55BF87E8">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23682B3">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3C21257">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8C93093">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1676807">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1E6C4B4">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132DEA7">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9746D9F">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81DD3C2">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r>
      <w:tr w14:paraId="69EB3D1C">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F1A5341">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1EC98CD7">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C0452B1">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FA9B865">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70E0053">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98AB8B6">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8296BBF">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3FB294D">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3E86EF1">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8736733">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r>
      <w:tr w14:paraId="5D2B0C9E">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0470478">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6C1C20BB">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CB68136">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97ADDBD">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42E2D9C">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E7EE406">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AB9F235">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2FB8769">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88821B6">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E8F0447">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r>
      <w:tr w14:paraId="1ACAF27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D1EE7F3">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76FA0FA7">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3762737">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8415454">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560EBCC">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EF32DAB">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6F4CC90">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DDA5F5A">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DDDAEFA">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299CE72">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r>
      <w:tr w14:paraId="612BD6C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7EFDC8B">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0F000357">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BC30DC3">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E7E55F9">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D4E250C">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52E8BB5">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7262566">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FED8668">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8A103E6">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8C78BA5">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r>
      <w:tr w14:paraId="404204EA">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766448D">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0489F661">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FCF27D1">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9E4FA5B">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EDD1839">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1D65143">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BA7E484">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116BDC1">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37B8BD5">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846AA0B">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r>
      <w:tr w14:paraId="7F2DC048">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A953EAE">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3EE440D5">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5688324">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ADBBD58">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79B0717">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9DCA63A">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854A751">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B60D0FA">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E8FD0A5">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1D121DC1">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r>
      <w:tr w14:paraId="3B96736F">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D66E4A3">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291C926B">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321897C">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757F08E">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3F1BB87">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D229EEE">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8248A7F">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5480150">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30EEC3D">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03650388">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r>
      <w:tr w14:paraId="791AD65F">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14:paraId="01CAA77F">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1F1BEBF4">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14:paraId="600D8CA3">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14:paraId="32D373EC">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151E27D8">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1DB16951">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14:paraId="0A789EE5">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14:paraId="357AFDA9">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7BFF0DBD">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vAlign w:val="center"/>
          </w:tcPr>
          <w:p w14:paraId="2D0EBC62">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r>
      <w:tr w14:paraId="2EC1BE9A">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CB90D61">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14:paraId="6B3F2B3A">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3D452AE4">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7C162A9">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896CCBC">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CC93437">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A80F672">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904CC27">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C0D3DAA">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03642568">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r>
      <w:tr w14:paraId="56EC92DE">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ECFC1F8">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363ABEDE">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5329BC74">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3073E98">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6551255">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BF500BF">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9E6AD2A">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BA7EF10">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034BE06">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124F0AA">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r>
      <w:tr w14:paraId="151BFC77">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B47F176">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0FABA673">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67DF7CCA">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4D61B1E">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30F16AD">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6A3CECF">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E03063C">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03CA97C">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04260BE">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00BE2D50">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r>
      <w:tr w14:paraId="19025D1B">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0577676">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7BB92CB6">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E8CC4F6">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4266BBF">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5AC0B95">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E52791F">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FE2F993">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1A00F3C">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001A72D6">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r>
      <w:tr w14:paraId="0EB21538">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2C88EFD2">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3E9FACA">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AF40B68">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A728713">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ED907A4">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2035A6E">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30929BF">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7DFF0D9">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r>
    </w:tbl>
    <w:p w14:paraId="3865545E">
      <w:pPr>
        <w:spacing w:line="240" w:lineRule="auto"/>
        <w:ind w:firstLine="600" w:firstLineChars="200"/>
        <w:rPr>
          <w:rFonts w:ascii="黑体" w:hAnsi="黑体" w:eastAsia="黑体"/>
          <w:sz w:val="30"/>
          <w:szCs w:val="30"/>
        </w:rPr>
      </w:pPr>
    </w:p>
    <w:p w14:paraId="2B6C1D52">
      <w:pPr>
        <w:spacing w:after="156" w:afterLines="50" w:line="240" w:lineRule="auto"/>
        <w:ind w:firstLine="640" w:firstLineChars="200"/>
        <w:rPr>
          <w:rFonts w:ascii="黑体" w:hAnsi="黑体" w:eastAsia="黑体"/>
          <w:sz w:val="30"/>
          <w:szCs w:val="30"/>
        </w:rPr>
      </w:pPr>
      <w:r>
        <w:rPr>
          <w:rFonts w:hint="eastAsia" w:ascii="黑体" w:hAnsi="黑体" w:eastAsia="黑体"/>
          <w:szCs w:val="32"/>
        </w:rPr>
        <w:t>四、政府信息公开行政复议、行政诉讼情况</w:t>
      </w:r>
    </w:p>
    <w:tbl>
      <w:tblPr>
        <w:tblStyle w:val="5"/>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7175CDBC">
        <w:tblPrEx>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395B010">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行政复议</w:t>
            </w:r>
          </w:p>
        </w:tc>
        <w:tc>
          <w:tcPr>
            <w:tcW w:w="642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4BF3EAF">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行政诉讼</w:t>
            </w:r>
          </w:p>
        </w:tc>
      </w:tr>
      <w:tr w14:paraId="7E7CF463">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617077A">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结果维持</w:t>
            </w:r>
          </w:p>
        </w:tc>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66FCF31">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43A1D45">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9E72494">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98C4F5E">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c>
          <w:tcPr>
            <w:tcW w:w="321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7D238BA">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518CC53">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复议后起诉</w:t>
            </w:r>
          </w:p>
        </w:tc>
      </w:tr>
      <w:tr w14:paraId="06C88DB5">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35452A76">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14:paraId="4EAF9367">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0B52211B">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62A1D4A8">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20081DA6">
            <w:pPr>
              <w:widowControl/>
              <w:autoSpaceDE/>
              <w:autoSpaceDN/>
              <w:snapToGrid/>
              <w:spacing w:line="240" w:lineRule="auto"/>
              <w:ind w:firstLine="0"/>
              <w:jc w:val="left"/>
              <w:rPr>
                <w:rFonts w:ascii="宋体" w:hAnsi="宋体" w:eastAsia="宋体" w:cs="宋体"/>
                <w:snapToGrid/>
                <w:sz w:val="24"/>
                <w:szCs w:val="24"/>
              </w:rPr>
            </w:pP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64BECF4">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3B644B2">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1F6EF19">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DCC164B">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6480AD">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4E639D2">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AE82C16">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EE3CE39">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其他</w:t>
            </w:r>
            <w:r>
              <w:rPr>
                <w:rFonts w:hint="eastAsia" w:ascii="宋体" w:hAnsi="宋体" w:eastAsia="宋体" w:cs="宋体"/>
                <w:snapToGrid/>
                <w:color w:val="000000"/>
                <w:sz w:val="20"/>
              </w:rPr>
              <w:br w:type="textWrapping"/>
            </w:r>
            <w:r>
              <w:rPr>
                <w:rFonts w:hint="eastAsia" w:ascii="宋体" w:hAnsi="宋体" w:eastAsia="宋体" w:cs="宋体"/>
                <w:snapToGrid/>
                <w:color w:val="000000"/>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5140A6C">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F7D545E">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r>
      <w:tr w14:paraId="73297724">
        <w:tblPrEx>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3AF9D13">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1C109A8">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9C11003">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C92B733">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FE04E45">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855DEC5">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400C4BE">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1295E8C">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1FBE192">
            <w:pPr>
              <w:widowControl/>
              <w:autoSpaceDE/>
              <w:autoSpaceDN/>
              <w:snapToGrid/>
              <w:spacing w:line="240" w:lineRule="auto"/>
              <w:ind w:firstLine="0"/>
              <w:jc w:val="center"/>
              <w:rPr>
                <w:rFonts w:hint="default" w:ascii="Times New Roman" w:hAnsi="Times New Roman" w:eastAsia="宋体" w:cs="Times New Roman"/>
                <w:snapToGrid/>
                <w:sz w:val="21"/>
                <w:szCs w:val="21"/>
              </w:rPr>
            </w:pPr>
            <w:r>
              <w:rPr>
                <w:rFonts w:hint="default" w:ascii="Times New Roman" w:hAnsi="Times New Roman" w:eastAsia="宋体" w:cs="Times New Roman"/>
                <w:snapToGrid/>
                <w:sz w:val="21"/>
                <w:szCs w:val="21"/>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2BAAA1A">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6DD95DE">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3AA5424">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DC4F6F1">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39FB95D">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C4CDF46">
            <w:pPr>
              <w:widowControl/>
              <w:autoSpaceDE/>
              <w:autoSpaceDN/>
              <w:snapToGrid/>
              <w:spacing w:line="240" w:lineRule="auto"/>
              <w:ind w:firstLine="0"/>
              <w:jc w:val="center"/>
              <w:rPr>
                <w:rFonts w:hint="default" w:ascii="Times New Roman" w:hAnsi="Times New Roman" w:eastAsia="宋体" w:cs="Times New Roman"/>
                <w:snapToGrid/>
                <w:sz w:val="21"/>
                <w:szCs w:val="21"/>
                <w:lang w:val="en-US" w:eastAsia="zh-CN"/>
              </w:rPr>
            </w:pPr>
            <w:r>
              <w:rPr>
                <w:rFonts w:hint="default" w:ascii="Times New Roman" w:hAnsi="Times New Roman" w:eastAsia="宋体" w:cs="Times New Roman"/>
                <w:snapToGrid/>
                <w:sz w:val="21"/>
                <w:szCs w:val="21"/>
                <w:lang w:val="en-US" w:eastAsia="zh-CN"/>
              </w:rPr>
              <w:t>0</w:t>
            </w:r>
          </w:p>
        </w:tc>
      </w:tr>
    </w:tbl>
    <w:p w14:paraId="3B6B21D8">
      <w:pPr>
        <w:spacing w:line="240" w:lineRule="auto"/>
        <w:ind w:firstLine="640" w:firstLineChars="200"/>
        <w:rPr>
          <w:rFonts w:ascii="黑体" w:hAnsi="黑体" w:eastAsia="黑体"/>
          <w:szCs w:val="32"/>
        </w:rPr>
      </w:pPr>
    </w:p>
    <w:p w14:paraId="5256DDF6">
      <w:pPr>
        <w:spacing w:line="560" w:lineRule="exact"/>
        <w:ind w:firstLine="640" w:firstLineChars="200"/>
        <w:rPr>
          <w:rFonts w:ascii="黑体" w:hAnsi="黑体" w:eastAsia="黑体"/>
          <w:szCs w:val="32"/>
        </w:rPr>
      </w:pPr>
      <w:r>
        <w:rPr>
          <w:rFonts w:hint="eastAsia" w:ascii="黑体" w:hAnsi="黑体" w:eastAsia="黑体"/>
          <w:szCs w:val="32"/>
        </w:rPr>
        <w:t>五、存在的主要问题及改进情况</w:t>
      </w:r>
    </w:p>
    <w:p w14:paraId="7FB5B802">
      <w:pPr>
        <w:spacing w:line="560" w:lineRule="exact"/>
        <w:ind w:firstLine="600" w:firstLineChars="200"/>
        <w:rPr>
          <w:rFonts w:ascii="楷体_GB2312" w:hAnsi="黑体" w:eastAsia="楷体_GB2312"/>
          <w:sz w:val="30"/>
          <w:szCs w:val="30"/>
        </w:rPr>
      </w:pPr>
      <w:r>
        <w:rPr>
          <w:rFonts w:hint="eastAsia" w:ascii="楷体_GB2312" w:hAnsi="黑体" w:eastAsia="楷体_GB2312"/>
          <w:sz w:val="30"/>
          <w:szCs w:val="30"/>
        </w:rPr>
        <w:t>（一）存在问题</w:t>
      </w:r>
    </w:p>
    <w:p w14:paraId="7A75401A">
      <w:pPr>
        <w:keepNext w:val="0"/>
        <w:keepLines w:val="0"/>
        <w:widowControl/>
        <w:suppressLineNumbers w:val="0"/>
        <w:jc w:val="left"/>
      </w:pPr>
      <w:r>
        <w:rPr>
          <w:rFonts w:hint="eastAsia" w:ascii="仿宋_GB2312" w:eastAsia="仿宋_GB2312"/>
          <w:sz w:val="32"/>
          <w:szCs w:val="32"/>
          <w:lang w:eastAsia="zh-CN"/>
        </w:rPr>
        <w:t>一</w:t>
      </w:r>
      <w:r>
        <w:rPr>
          <w:rFonts w:hint="eastAsia" w:ascii="仿宋_GB2312" w:eastAsia="仿宋_GB2312"/>
          <w:sz w:val="32"/>
          <w:szCs w:val="32"/>
        </w:rPr>
        <w:t>是</w:t>
      </w:r>
      <w:r>
        <w:rPr>
          <w:rFonts w:hint="eastAsia" w:ascii="仿宋_GB2312" w:eastAsia="仿宋_GB2312"/>
          <w:sz w:val="32"/>
          <w:szCs w:val="32"/>
          <w:lang w:val="en-US" w:eastAsia="zh-CN"/>
        </w:rPr>
        <w:t>主动公开意识薄弱，工作主动性不足，仍沿用“上级要求即公开”的被动模式，缺乏从群众视角梳理信息的意识，对群众潜在信息需求预判不足，主动对接、主动公开的积极性欠缺。</w:t>
      </w:r>
    </w:p>
    <w:p w14:paraId="2B33E88A">
      <w:pPr>
        <w:spacing w:line="560" w:lineRule="exact"/>
        <w:rPr>
          <w:rFonts w:ascii="楷体_GB2312" w:hAnsi="黑体" w:eastAsia="楷体_GB2312"/>
          <w:sz w:val="30"/>
          <w:szCs w:val="30"/>
        </w:rPr>
      </w:pPr>
      <w:r>
        <w:rPr>
          <w:rFonts w:hint="eastAsia" w:ascii="仿宋_GB2312" w:eastAsia="仿宋_GB2312"/>
          <w:sz w:val="32"/>
          <w:szCs w:val="32"/>
          <w:lang w:eastAsia="zh-CN"/>
        </w:rPr>
        <w:t>二</w:t>
      </w:r>
      <w:r>
        <w:rPr>
          <w:rFonts w:hint="eastAsia" w:ascii="仿宋_GB2312" w:eastAsia="仿宋_GB2312"/>
          <w:sz w:val="32"/>
          <w:szCs w:val="32"/>
        </w:rPr>
        <w:t>是队伍专业能力有待提升。部分科室及社区</w:t>
      </w:r>
      <w:r>
        <w:rPr>
          <w:rFonts w:hint="eastAsia" w:ascii="仿宋_GB2312" w:eastAsia="仿宋_GB2312"/>
          <w:sz w:val="32"/>
          <w:szCs w:val="32"/>
          <w:lang w:val="en-US" w:eastAsia="zh-CN"/>
        </w:rPr>
        <w:t>工作人员</w:t>
      </w:r>
      <w:r>
        <w:rPr>
          <w:rFonts w:hint="eastAsia" w:ascii="仿宋_GB2312" w:eastAsia="仿宋_GB2312"/>
          <w:sz w:val="32"/>
          <w:szCs w:val="32"/>
        </w:rPr>
        <w:t>对公开标准掌握不熟练，存在“重发布、轻实效”现象。</w:t>
      </w:r>
    </w:p>
    <w:p w14:paraId="5E2927AC">
      <w:pPr>
        <w:spacing w:line="560" w:lineRule="exact"/>
        <w:ind w:firstLine="600" w:firstLineChars="200"/>
        <w:rPr>
          <w:rFonts w:ascii="楷体_GB2312" w:hAnsi="黑体" w:eastAsia="楷体_GB2312"/>
          <w:sz w:val="30"/>
          <w:szCs w:val="30"/>
        </w:rPr>
      </w:pPr>
      <w:r>
        <w:rPr>
          <w:rFonts w:hint="eastAsia" w:ascii="楷体_GB2312" w:hAnsi="黑体" w:eastAsia="楷体_GB2312"/>
          <w:sz w:val="30"/>
          <w:szCs w:val="30"/>
        </w:rPr>
        <w:t>（二）改进情况</w:t>
      </w:r>
    </w:p>
    <w:p w14:paraId="6C523B89">
      <w:pPr>
        <w:spacing w:line="560" w:lineRule="exact"/>
        <w:rPr>
          <w:rFonts w:hint="eastAsia" w:ascii="仿宋_GB2312" w:eastAsia="仿宋_GB2312"/>
          <w:sz w:val="32"/>
          <w:szCs w:val="32"/>
          <w:lang w:val="en-US" w:eastAsia="zh-CN"/>
        </w:rPr>
      </w:pPr>
      <w:r>
        <w:rPr>
          <w:rFonts w:hint="eastAsia" w:ascii="仿宋_GB2312" w:eastAsia="仿宋_GB2312"/>
          <w:sz w:val="32"/>
          <w:szCs w:val="32"/>
          <w:lang w:eastAsia="zh-CN"/>
        </w:rPr>
        <w:t>一是</w:t>
      </w:r>
      <w:r>
        <w:rPr>
          <w:rFonts w:hint="eastAsia" w:ascii="仿宋_GB2312" w:eastAsia="仿宋_GB2312"/>
          <w:sz w:val="32"/>
          <w:szCs w:val="32"/>
          <w:lang w:val="en-US" w:eastAsia="zh-CN"/>
        </w:rPr>
        <w:t>强化思想引导，树立群众导向，梳理信息清单；建立网格走访机制，摸排群众潜在需求，变被动公开为主动对接。现已形成常态化主动公开模式，信息贴合群众需求，公开及时性、针对性显著提升。</w:t>
      </w:r>
    </w:p>
    <w:p w14:paraId="251444E7">
      <w:pPr>
        <w:spacing w:line="560" w:lineRule="exact"/>
        <w:rPr>
          <w:rFonts w:hint="eastAsia" w:ascii="仿宋_GB2312" w:eastAsia="仿宋_GB2312"/>
          <w:sz w:val="32"/>
          <w:szCs w:val="32"/>
          <w:lang w:eastAsia="zh-CN"/>
        </w:rPr>
      </w:pPr>
      <w:r>
        <w:rPr>
          <w:rFonts w:hint="eastAsia" w:ascii="仿宋_GB2312" w:eastAsia="仿宋_GB2312"/>
          <w:sz w:val="32"/>
          <w:szCs w:val="32"/>
          <w:lang w:eastAsia="zh-CN"/>
        </w:rPr>
        <w:t>二是</w:t>
      </w:r>
      <w:r>
        <w:rPr>
          <w:rFonts w:hint="eastAsia" w:ascii="仿宋_GB2312" w:eastAsia="仿宋_GB2312"/>
          <w:sz w:val="32"/>
          <w:szCs w:val="32"/>
        </w:rPr>
        <w:t>建立“一对一帮带” 机制，由街道政务公开办骨干对接各科室、社区信息员，提供日常业务指导，</w:t>
      </w:r>
      <w:r>
        <w:rPr>
          <w:rFonts w:hint="eastAsia" w:ascii="仿宋_GB2312" w:eastAsia="仿宋_GB2312"/>
          <w:sz w:val="32"/>
          <w:szCs w:val="32"/>
          <w:lang w:val="en-US" w:eastAsia="zh-CN"/>
        </w:rPr>
        <w:t>定期对发布标准以及平台操作进行培训，确保规范公开信息</w:t>
      </w:r>
      <w:r>
        <w:rPr>
          <w:rFonts w:hint="eastAsia" w:ascii="仿宋_GB2312" w:eastAsia="仿宋_GB2312"/>
          <w:sz w:val="32"/>
          <w:szCs w:val="32"/>
          <w:lang w:eastAsia="zh-CN"/>
        </w:rPr>
        <w:t>。</w:t>
      </w:r>
    </w:p>
    <w:p w14:paraId="2AB7ED1B">
      <w:pPr>
        <w:spacing w:line="560" w:lineRule="exact"/>
        <w:ind w:firstLine="640" w:firstLineChars="200"/>
        <w:rPr>
          <w:rFonts w:ascii="黑体" w:hAnsi="黑体" w:eastAsia="黑体"/>
          <w:szCs w:val="32"/>
        </w:rPr>
      </w:pPr>
      <w:r>
        <w:rPr>
          <w:rFonts w:hint="eastAsia" w:ascii="黑体" w:hAnsi="黑体" w:eastAsia="黑体"/>
          <w:szCs w:val="32"/>
        </w:rPr>
        <w:t>六、其他需要报告的事项</w:t>
      </w:r>
    </w:p>
    <w:p w14:paraId="60BBD35E">
      <w:pPr>
        <w:ind w:firstLine="600" w:firstLineChars="200"/>
        <w:jc w:val="left"/>
        <w:rPr>
          <w:rFonts w:ascii="楷体_GB2312" w:hAnsi="黑体" w:eastAsia="楷体_GB2312"/>
          <w:sz w:val="30"/>
          <w:szCs w:val="30"/>
        </w:rPr>
      </w:pPr>
      <w:r>
        <w:rPr>
          <w:rFonts w:hint="eastAsia" w:ascii="楷体_GB2312" w:hAnsi="黑体" w:eastAsia="楷体_GB2312"/>
          <w:sz w:val="30"/>
          <w:szCs w:val="30"/>
        </w:rPr>
        <w:t>（一）政府信息公开信息处理费收取情况</w:t>
      </w:r>
    </w:p>
    <w:p w14:paraId="494F5510">
      <w:pPr>
        <w:spacing w:line="560" w:lineRule="exact"/>
        <w:ind w:firstLine="640" w:firstLineChars="200"/>
        <w:rPr>
          <w:rFonts w:ascii="仿宋_GB2312" w:eastAsia="仿宋_GB2312"/>
          <w:sz w:val="32"/>
          <w:szCs w:val="32"/>
        </w:rPr>
      </w:pPr>
      <w:r>
        <w:rPr>
          <w:rFonts w:hint="eastAsia" w:ascii="仿宋_GB2312" w:eastAsia="仿宋_GB2312"/>
          <w:sz w:val="32"/>
          <w:szCs w:val="32"/>
        </w:rPr>
        <w:t>本机关依申请提供政府信息，根据《国务院办公厅关于印发&lt;政府信息公开信息处理费管理办法&gt;的通知》（国办函〔2020〕109号）和《山东省人民政府办公厅关于做好政府信息公开信息处理费管理工作有关事项的通知》（鲁政办字〔2020〕179号）收取信息处理费。202</w:t>
      </w:r>
      <w:r>
        <w:rPr>
          <w:rFonts w:hint="eastAsia" w:ascii="仿宋_GB2312" w:eastAsia="仿宋_GB2312"/>
          <w:sz w:val="32"/>
          <w:szCs w:val="32"/>
          <w:lang w:val="en-US" w:eastAsia="zh-CN"/>
        </w:rPr>
        <w:t>5</w:t>
      </w:r>
      <w:r>
        <w:rPr>
          <w:rFonts w:hint="eastAsia" w:ascii="仿宋_GB2312" w:eastAsia="仿宋_GB2312"/>
          <w:sz w:val="32"/>
          <w:szCs w:val="32"/>
        </w:rPr>
        <w:t>年本机关依申请公开政府信息未收取任何费用。</w:t>
      </w:r>
    </w:p>
    <w:p w14:paraId="55AFFA2B">
      <w:pPr>
        <w:ind w:firstLine="600" w:firstLineChars="200"/>
        <w:jc w:val="left"/>
        <w:rPr>
          <w:rFonts w:ascii="楷体_GB2312" w:hAnsi="黑体" w:eastAsia="楷体_GB2312"/>
          <w:sz w:val="30"/>
          <w:szCs w:val="30"/>
        </w:rPr>
      </w:pPr>
      <w:r>
        <w:rPr>
          <w:rFonts w:hint="eastAsia" w:ascii="楷体_GB2312" w:hAnsi="黑体" w:eastAsia="楷体_GB2312"/>
          <w:sz w:val="30"/>
          <w:szCs w:val="30"/>
        </w:rPr>
        <w:t>（二）落实上级年度政务公开工作要点情况</w:t>
      </w:r>
    </w:p>
    <w:p w14:paraId="2EB5874E">
      <w:pPr>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严格落实国家和省市县政务公开工作要点，并根据《高青县人民政府办公室关于印发202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年高青县政务公开工作方案的通知》要求，制定了《高青县</w:t>
      </w:r>
      <w:r>
        <w:rPr>
          <w:rFonts w:hint="default" w:ascii="Times New Roman" w:hAnsi="Times New Roman" w:eastAsia="仿宋_GB2312" w:cs="Times New Roman"/>
          <w:sz w:val="32"/>
          <w:szCs w:val="32"/>
          <w:lang w:eastAsia="zh-CN"/>
        </w:rPr>
        <w:t>田镇街道办事处</w:t>
      </w:r>
      <w:r>
        <w:rPr>
          <w:rFonts w:hint="default" w:ascii="Times New Roman" w:hAnsi="Times New Roman" w:eastAsia="仿宋_GB2312" w:cs="Times New Roman"/>
          <w:sz w:val="32"/>
          <w:szCs w:val="32"/>
        </w:rPr>
        <w:t>政务公开工作方案》，明确了重点任务、工作标准和完成时限</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一是</w:t>
      </w:r>
      <w:r>
        <w:rPr>
          <w:rFonts w:hint="default" w:ascii="Times New Roman" w:hAnsi="Times New Roman" w:eastAsia="仿宋_GB2312" w:cs="Times New Roman"/>
          <w:sz w:val="32"/>
          <w:szCs w:val="32"/>
          <w:lang w:val="en-US" w:eastAsia="zh-CN"/>
        </w:rPr>
        <w:t>加大队伍建设与能力提升力度，常态化组织各科室、管区、社区工作人员开展政务公开专题培训和集中学习，聚焦公开流程、内容规范要点精准赋能，全面提升公开工作队伍专业素养。</w:t>
      </w:r>
      <w:r>
        <w:rPr>
          <w:rFonts w:hint="eastAsia" w:eastAsia="仿宋_GB2312" w:cs="Times New Roman"/>
          <w:sz w:val="32"/>
          <w:szCs w:val="32"/>
          <w:lang w:val="en-US" w:eastAsia="zh-CN"/>
        </w:rPr>
        <w:t>二</w:t>
      </w:r>
      <w:r>
        <w:rPr>
          <w:rFonts w:hint="default" w:ascii="Times New Roman" w:hAnsi="Times New Roman" w:eastAsia="仿宋_GB2312" w:cs="Times New Roman"/>
          <w:sz w:val="32"/>
          <w:szCs w:val="32"/>
          <w:lang w:val="en-US" w:eastAsia="zh-CN"/>
        </w:rPr>
        <w:t>是聚焦群众关切，深化重点领域公开，细化公开内容，创新政策解读形式，提升解读质量，让群众看得懂、能理解、用得上。</w:t>
      </w:r>
      <w:r>
        <w:rPr>
          <w:rFonts w:hint="eastAsia" w:eastAsia="仿宋_GB2312" w:cs="Times New Roman"/>
          <w:sz w:val="32"/>
          <w:szCs w:val="32"/>
          <w:lang w:eastAsia="zh-CN"/>
        </w:rPr>
        <w:t>三</w:t>
      </w:r>
      <w:r>
        <w:rPr>
          <w:rFonts w:hint="default" w:ascii="Times New Roman" w:hAnsi="Times New Roman" w:eastAsia="仿宋_GB2312" w:cs="Times New Roman"/>
          <w:sz w:val="32"/>
          <w:szCs w:val="32"/>
        </w:rPr>
        <w:t>是强化标准化规范化建设，夯实公开工作保障。建立常态化督查整改机制，定期对各科室、社区政务公开工作开展专项检查，聚焦公开内容、流程规范、时效质量等关键环节查摆问题，对发现的短板弱项及时通报并督促限期整改，全年下发整改通知书9份，整改完成率100%。</w:t>
      </w:r>
    </w:p>
    <w:p w14:paraId="1D518635">
      <w:pPr>
        <w:ind w:firstLine="600" w:firstLineChars="200"/>
        <w:jc w:val="left"/>
        <w:rPr>
          <w:rFonts w:ascii="楷体_GB2312" w:hAnsi="黑体" w:eastAsia="楷体_GB2312"/>
          <w:sz w:val="30"/>
          <w:szCs w:val="30"/>
        </w:rPr>
      </w:pPr>
      <w:r>
        <w:rPr>
          <w:rFonts w:hint="eastAsia" w:ascii="楷体_GB2312" w:hAnsi="黑体" w:eastAsia="楷体_GB2312"/>
          <w:sz w:val="30"/>
          <w:szCs w:val="30"/>
        </w:rPr>
        <w:t>（三）人大代表建议和政协委员提案办理结果公开情况</w:t>
      </w:r>
    </w:p>
    <w:p w14:paraId="78A6BAC9">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年共承办县十八届人大</w:t>
      </w: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次会议建议</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件，承办县政协十五届</w:t>
      </w: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次会议提案</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件，办复率均为100%。除涉及国家秘密、工作秘密的，所有建议提案办理复文或摘要以及办理总体情况均在县政府门户网站建议提案办理专题中予以公开。</w:t>
      </w:r>
    </w:p>
    <w:p w14:paraId="621B1777">
      <w:pPr>
        <w:ind w:firstLine="600" w:firstLineChars="200"/>
        <w:jc w:val="left"/>
        <w:rPr>
          <w:rFonts w:ascii="楷体_GB2312" w:hAnsi="黑体" w:eastAsia="楷体_GB2312"/>
          <w:sz w:val="30"/>
          <w:szCs w:val="30"/>
        </w:rPr>
      </w:pPr>
      <w:r>
        <w:rPr>
          <w:rFonts w:hint="eastAsia" w:ascii="楷体_GB2312" w:hAnsi="黑体" w:eastAsia="楷体_GB2312"/>
          <w:sz w:val="30"/>
          <w:szCs w:val="30"/>
        </w:rPr>
        <w:t>（四）政务公开工作创新情况</w:t>
      </w:r>
    </w:p>
    <w:p w14:paraId="32CE14AE">
      <w:pPr>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推行“政务公开+网格服务”融合模式。 将政务公开工作主动融入基层网格化治理体系，依托全街道基础网格，明确网格员作为政务信息“宣传员”和民意“收集员”的双重职责。定期向网格员推送最新政策要点、办事指南等“政策包”，通过网格员入户走访、微信群通知、社区公告栏张贴等方式，实现</w:t>
      </w:r>
      <w:r>
        <w:rPr>
          <w:rFonts w:hint="eastAsia" w:eastAsia="仿宋_GB2312" w:cs="仿宋_GB2312"/>
          <w:sz w:val="32"/>
          <w:szCs w:val="32"/>
          <w:lang w:val="en-US" w:eastAsia="zh-CN"/>
        </w:rPr>
        <w:t>公开</w:t>
      </w:r>
      <w:r>
        <w:rPr>
          <w:rFonts w:hint="eastAsia" w:ascii="Times New Roman" w:hAnsi="Times New Roman" w:eastAsia="仿宋_GB2312" w:cs="仿宋_GB2312"/>
          <w:sz w:val="32"/>
          <w:szCs w:val="32"/>
        </w:rPr>
        <w:t>信息精准投送、快速触达。</w:t>
      </w:r>
    </w:p>
    <w:p w14:paraId="214B0C5D">
      <w:pPr>
        <w:ind w:firstLine="600" w:firstLineChars="200"/>
        <w:jc w:val="left"/>
        <w:rPr>
          <w:rFonts w:ascii="楷体_GB2312" w:hAnsi="黑体" w:eastAsia="楷体_GB2312"/>
          <w:sz w:val="30"/>
          <w:szCs w:val="30"/>
        </w:rPr>
      </w:pPr>
      <w:r>
        <w:rPr>
          <w:rFonts w:hint="eastAsia" w:ascii="楷体_GB2312" w:hAnsi="黑体" w:eastAsia="楷体_GB2312"/>
          <w:sz w:val="30"/>
          <w:szCs w:val="30"/>
        </w:rPr>
        <w:t>（五）有关数据统计说明</w:t>
      </w:r>
    </w:p>
    <w:p w14:paraId="3568C8C3">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1.报告中所列数据可能因四舍五入原因与数据直接相加之和存在尾数差异。</w:t>
      </w:r>
    </w:p>
    <w:p w14:paraId="150F194E">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2.行政许可数量、行政处罚和行政强制数量，包括已公开和依法未公开的全部处理决定。</w:t>
      </w:r>
    </w:p>
    <w:p w14:paraId="68FCC1C6">
      <w:pPr>
        <w:spacing w:line="560" w:lineRule="exact"/>
        <w:ind w:firstLine="640" w:firstLineChars="200"/>
        <w:rPr>
          <w:rFonts w:hint="default" w:ascii="Times New Roman" w:hAnsi="Times New Roman" w:eastAsia="楷体_GB2312" w:cs="Times New Roman"/>
          <w:sz w:val="30"/>
          <w:szCs w:val="30"/>
        </w:rPr>
      </w:pPr>
      <w:r>
        <w:rPr>
          <w:rFonts w:hint="default" w:ascii="Times New Roman" w:hAnsi="Times New Roman" w:eastAsia="仿宋_GB2312" w:cs="Times New Roman"/>
          <w:sz w:val="32"/>
          <w:szCs w:val="32"/>
        </w:rPr>
        <w:t>3.行政复议机关作为共同被告的行政诉讼案件，只计算原行为主体的案件数量，不计算行政复议机关的案件数量。</w:t>
      </w:r>
    </w:p>
    <w:sectPr>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543"/>
    <w:rsid w:val="000164E6"/>
    <w:rsid w:val="00024945"/>
    <w:rsid w:val="00110130"/>
    <w:rsid w:val="00117733"/>
    <w:rsid w:val="00121DCF"/>
    <w:rsid w:val="001B67D9"/>
    <w:rsid w:val="00210F4D"/>
    <w:rsid w:val="00211942"/>
    <w:rsid w:val="002133C7"/>
    <w:rsid w:val="002961F2"/>
    <w:rsid w:val="002E3543"/>
    <w:rsid w:val="003B5255"/>
    <w:rsid w:val="003D6FCB"/>
    <w:rsid w:val="003E75A6"/>
    <w:rsid w:val="00415AB1"/>
    <w:rsid w:val="004622F8"/>
    <w:rsid w:val="004C1750"/>
    <w:rsid w:val="004D241E"/>
    <w:rsid w:val="00515DB1"/>
    <w:rsid w:val="00523855"/>
    <w:rsid w:val="005422B3"/>
    <w:rsid w:val="00591E5D"/>
    <w:rsid w:val="005B13CD"/>
    <w:rsid w:val="005C0F41"/>
    <w:rsid w:val="0065765D"/>
    <w:rsid w:val="00673AC7"/>
    <w:rsid w:val="006947A5"/>
    <w:rsid w:val="00704FCD"/>
    <w:rsid w:val="008C4ED2"/>
    <w:rsid w:val="00915D0B"/>
    <w:rsid w:val="009B028C"/>
    <w:rsid w:val="00C542CC"/>
    <w:rsid w:val="00C67940"/>
    <w:rsid w:val="00C73BD0"/>
    <w:rsid w:val="00CC2BE7"/>
    <w:rsid w:val="00CC521B"/>
    <w:rsid w:val="00CD1D00"/>
    <w:rsid w:val="00D234BA"/>
    <w:rsid w:val="00E50639"/>
    <w:rsid w:val="00E60B5D"/>
    <w:rsid w:val="00EA0721"/>
    <w:rsid w:val="00ED2963"/>
    <w:rsid w:val="00EF5607"/>
    <w:rsid w:val="00FA216A"/>
    <w:rsid w:val="00FD5381"/>
    <w:rsid w:val="07DB231A"/>
    <w:rsid w:val="08880993"/>
    <w:rsid w:val="0B0275AC"/>
    <w:rsid w:val="12050CF7"/>
    <w:rsid w:val="15154D4B"/>
    <w:rsid w:val="1D73123A"/>
    <w:rsid w:val="24E82A80"/>
    <w:rsid w:val="27D75B9B"/>
    <w:rsid w:val="3EA431A9"/>
    <w:rsid w:val="410140EC"/>
    <w:rsid w:val="46C3389F"/>
    <w:rsid w:val="57580F21"/>
    <w:rsid w:val="57C15E41"/>
    <w:rsid w:val="58207A60"/>
    <w:rsid w:val="5B3B5816"/>
    <w:rsid w:val="65573F5C"/>
    <w:rsid w:val="67843FC6"/>
    <w:rsid w:val="703C4C1F"/>
    <w:rsid w:val="7F3F5E25"/>
    <w:rsid w:val="BFDD1D87"/>
    <w:rsid w:val="F7EFB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kern w:val="0"/>
      <w:sz w:val="32"/>
      <w:szCs w:val="2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9"/>
    <w:unhideWhenUsed/>
    <w:qFormat/>
    <w:uiPriority w:val="99"/>
    <w:pPr>
      <w:tabs>
        <w:tab w:val="center" w:pos="4153"/>
        <w:tab w:val="right" w:pos="8306"/>
      </w:tabs>
      <w:spacing w:line="240" w:lineRule="atLeast"/>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pacing w:line="240" w:lineRule="atLeast"/>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rFonts w:ascii="Times New Roman" w:hAnsi="Times New Roman" w:eastAsia="方正仿宋_GBK" w:cs="Times New Roman"/>
      <w:snapToGrid w:val="0"/>
      <w:kern w:val="0"/>
      <w:sz w:val="18"/>
      <w:szCs w:val="18"/>
    </w:rPr>
  </w:style>
  <w:style w:type="character" w:customStyle="1" w:styleId="9">
    <w:name w:val="页脚 Char"/>
    <w:basedOn w:val="7"/>
    <w:link w:val="3"/>
    <w:qFormat/>
    <w:uiPriority w:val="99"/>
    <w:rPr>
      <w:rFonts w:ascii="Times New Roman" w:hAnsi="Times New Roman" w:eastAsia="方正仿宋_GBK" w:cs="Times New Roman"/>
      <w:snapToGrid w:val="0"/>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8</Pages>
  <Words>1049</Words>
  <Characters>1164</Characters>
  <Lines>15</Lines>
  <Paragraphs>4</Paragraphs>
  <TotalTime>2</TotalTime>
  <ScaleCrop>false</ScaleCrop>
  <LinksUpToDate>false</LinksUpToDate>
  <CharactersWithSpaces>1164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2022-01-02T09:04:00Z</dcterms:created>
  <dc:creator>lb</dc:creator>
  <cp:lastModifiedBy>。</cp:lastModifiedBy>
  <dcterms:modified xsi:type="dcterms:W3CDTF">2026-01-28T06:18:17Z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eyJoZGlkIjoiNDA0NDljNmFiMzFkY2ZjZmQ4N2MzMDQyM2Q3NzlkMzMiLCJ1c2VySWQiOiI1MjQ4Mzc4MjkifQ==</vt:lpwstr>
  </property>
  <property fmtid="{D5CDD505-2E9C-101B-9397-08002B2CF9AE}" pid="3" name="KSOProductBuildVer">
    <vt:lpwstr>2052-12.1.0.24657</vt:lpwstr>
  </property>
  <property fmtid="{D5CDD505-2E9C-101B-9397-08002B2CF9AE}" pid="4" name="ICV">
    <vt:lpwstr>FC7CD57CF53A487C91CD43F125EFDA86_12</vt:lpwstr>
  </property>
</Properties>
</file>