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高青县田镇街道办事处2019年政府信息  公开年度报告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本报告根据《中华人民共和国政府信息公开</w:t>
      </w:r>
      <w:bookmarkStart w:id="0" w:name="_GoBack"/>
      <w:bookmarkEnd w:id="0"/>
      <w:r>
        <w:rPr>
          <w:rFonts w:hint="eastAsia" w:ascii="仿宋_GB2312" w:hAnsi="仿宋_GB2312" w:eastAsia="仿宋_GB2312" w:cs="仿宋_GB2312"/>
          <w:sz w:val="32"/>
          <w:szCs w:val="32"/>
        </w:rPr>
        <w:t>条例》（国务院令第711号，以下简称《条例》）要求，由高青县人民政府办公室综合各乡镇人民政府、街道办事处、经济开发区管委会和县政府各部门、各有关单位政府信息公开工作情况编制。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报告全文由总体情况、主动公开政府信息情况、收到和处理政府信息公开申请情况、政府信息公开行政复议行政诉讼情况、存在的主要问题及改进情况、其他需要报告的事项6个部分组成。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中所列数据统计期限自2019年1月1日始，至2019年12月31日止。报告电子版可在高青县人民政府门户网站（www.gaoqing.gov.cn）查阅和下载。如对报告内容有疑问，请与高青县田镇街道办事处党政办联系（地址：高青县黄河路903号；邮编：256300；电话：0533—6961342；传真：0533—6961342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高青县深入贯彻新修订的《中华人民共和国政府信息公开条例》，认真落实《国务院办公厅关于印发2019年政务公开工作要点的通知》（国办发〔2019〕14号）、《山东省人民政府办公厅关于印发2019年山东省政务公开工作要点的通知》（鲁政办发〔2019〕15号）和《淄博市人民政府办公室关于印发2019年淄博市政务公开工作方案的通知》（淄政办发〔2019〕5号）部署的各项任务，持续做好信息发布、解读回应、政民互动、平台建设，着力推动行政权力全过程公开、公共服务全流程公开、社会关切全方位回应，切实提升政务公开质量，为全年经济社会发展创造更加开放透明的政务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（一）政府信息公开体制机制建设情况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田镇街道深化政务公开、大力营造风清气正的政务生态统一部署，统筹推进，安排专人负责政府公开工作，强化组织领导，由副书记直接分管政务公开工作，并向社会公开。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大代表建议和政协委员提案办理结果公开方面：按照《高青县人民政府办公室关于做好2019年度政府系统建议提案办理工作的通知》（高政办字〔2019〕14号）要求，主动公开人大代表建议和政协委员提案办理情况。2019年主动公开田镇街道承办的10件人大代表建议、5件政协委员提案的整体办理情况，对涉及公共利益、公众权益、社会关切及需要社会广泛知晓的建议和提案办理复文全文予以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（三）依申请公开情况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申请的信息可以公开的，提供该政府信息，或者告知申请人获取该政府信息的方式、途径和时间；对于申请的信息不属于本机关公开范围的，告知申请人并说明理由，能够确定公开机关的，告知申请人该机关的名称和联系方式；对于较为复杂的申请件，主动与申请人沟通，了解群众需求，避免因误解引起行政复议或行政诉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1.收到和处理政府信息公开申请情况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2019年，田镇街道共收到政府信息公开申请4件，2018年度结转政府信息公开申请0件。</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申请处理情况：2019年共办结信息公开申请4件。在答复的申请中：</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予以公开的办件有0件，占0%；</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部分公开的有1件，占25%；</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不予公开的有0件，占0%；</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无法提供的办件有3件，占75%。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drawing>
          <wp:inline distT="0" distB="0" distL="114300" distR="114300">
            <wp:extent cx="4457700" cy="3476625"/>
            <wp:effectExtent l="0" t="0" r="0" b="9525"/>
            <wp:docPr id="2" name="图片 2"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4457700" cy="3476625"/>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2.收费及减免情况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本年度，田镇街道在政府信息公开申请办理过程中，未收取任何费用。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3.政府信息公开行政复议、行政诉讼情况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2019年，田镇街道共发生政府信息公开行政复议0件。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（四）政府信息管理情况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一是加强政府信息规范管理，二是继续统一规范，三是进一步优化功能。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（五）政府信息公开平台、机构建设和人员情况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平台建设。强化政务公开第一平台作用，完善政府信息公开目录，加大重点领域信息公开力度，全面公开领导班子成员分工，接受社会监督。加大政务微信等新媒体平台的政务公开力度，统筹推进政务新媒体与政府网站的协同联动、融合发展，提升信息发布、解读回应、政民互动、办事服务的整体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二是强化机构建设。田镇街道党政办公室作为政府信息公开工作具体科室，2人负责政务公开工作，其中1人专职，1人兼职。</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（六）监督保障情况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一是加强工作考核，二是强化责任追究。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5"/>
        <w:tblW w:w="8705" w:type="dxa"/>
        <w:jc w:val="center"/>
        <w:tblInd w:w="0" w:type="dxa"/>
        <w:tblLayout w:type="fixed"/>
        <w:tblCellMar>
          <w:top w:w="0" w:type="dxa"/>
          <w:left w:w="108" w:type="dxa"/>
          <w:bottom w:w="0" w:type="dxa"/>
          <w:right w:w="108" w:type="dxa"/>
        </w:tblCellMar>
      </w:tblPr>
      <w:tblGrid>
        <w:gridCol w:w="2752"/>
        <w:gridCol w:w="1984"/>
        <w:gridCol w:w="1985"/>
        <w:gridCol w:w="1984"/>
      </w:tblGrid>
      <w:tr>
        <w:tblPrEx>
          <w:tblLayout w:type="fixed"/>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333333"/>
                <w:kern w:val="0"/>
                <w:sz w:val="24"/>
              </w:rPr>
            </w:pPr>
            <w:r>
              <w:rPr>
                <w:rFonts w:hint="eastAsia" w:ascii="宋体" w:hAnsi="宋体" w:eastAsia="宋体" w:cs="宋体"/>
                <w:b/>
                <w:color w:val="333333"/>
                <w:kern w:val="0"/>
                <w:sz w:val="24"/>
              </w:rPr>
              <w:t>第二十条第（一）项</w:t>
            </w:r>
          </w:p>
        </w:tc>
      </w:tr>
      <w:tr>
        <w:tblPrEx>
          <w:tblLayout w:type="fixed"/>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本年新</w:t>
            </w:r>
            <w:r>
              <w:rPr>
                <w:rFonts w:ascii="宋体" w:hAnsi="宋体" w:eastAsia="宋体" w:cs="宋体"/>
                <w:color w:val="333333"/>
                <w:kern w:val="0"/>
                <w:sz w:val="24"/>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本年新</w:t>
            </w:r>
            <w:r>
              <w:rPr>
                <w:rFonts w:ascii="宋体" w:hAnsi="宋体" w:eastAsia="宋体" w:cs="宋体"/>
                <w:color w:val="333333"/>
                <w:kern w:val="0"/>
                <w:sz w:val="24"/>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对外公开总数量</w:t>
            </w:r>
          </w:p>
        </w:tc>
      </w:tr>
      <w:tr>
        <w:tblPrEx>
          <w:tblLayout w:type="fixed"/>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rPr>
            </w:pPr>
            <w:r>
              <w:rPr>
                <w:rFonts w:hint="eastAsia" w:ascii="宋体" w:hAnsi="Calibri" w:eastAsia="宋体" w:cs="Times New Roman"/>
                <w:color w:val="000000"/>
                <w:kern w:val="0"/>
                <w:sz w:val="24"/>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0</w:t>
            </w:r>
          </w:p>
        </w:tc>
      </w:tr>
      <w:tr>
        <w:tblPrEx>
          <w:tblLayout w:type="fixed"/>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0</w:t>
            </w:r>
          </w:p>
        </w:tc>
        <w:tc>
          <w:tcPr>
            <w:tcW w:w="1985"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rPr>
            </w:pPr>
            <w:r>
              <w:rPr>
                <w:rFonts w:hint="eastAsia" w:ascii="宋体" w:hAnsi="Calibri" w:eastAsia="宋体" w:cs="Times New Roman"/>
                <w:color w:val="000000"/>
                <w:kern w:val="0"/>
                <w:sz w:val="24"/>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0</w:t>
            </w:r>
          </w:p>
        </w:tc>
      </w:tr>
      <w:tr>
        <w:tblPrEx>
          <w:tblLayout w:type="fixed"/>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b/>
                <w:color w:val="333333"/>
                <w:kern w:val="0"/>
                <w:sz w:val="24"/>
              </w:rPr>
              <w:t>第二十条第（五）项</w:t>
            </w:r>
          </w:p>
        </w:tc>
      </w:tr>
      <w:tr>
        <w:tblPrEx>
          <w:tblLayout w:type="fixed"/>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处理决定数量</w:t>
            </w:r>
          </w:p>
        </w:tc>
      </w:tr>
      <w:tr>
        <w:tblPrEx>
          <w:tblLayout w:type="fixed"/>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r>
      <w:tr>
        <w:tblPrEx>
          <w:tblLayout w:type="fixed"/>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9</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10</w:t>
            </w:r>
          </w:p>
        </w:tc>
      </w:tr>
      <w:tr>
        <w:tblPrEx>
          <w:tblLayout w:type="fixed"/>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b/>
                <w:color w:val="333333"/>
                <w:kern w:val="0"/>
                <w:sz w:val="24"/>
              </w:rPr>
              <w:t>第二十条第（六）项</w:t>
            </w:r>
          </w:p>
        </w:tc>
      </w:tr>
      <w:tr>
        <w:tblPrEx>
          <w:tblLayout w:type="fixed"/>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处理决定数量</w:t>
            </w:r>
          </w:p>
        </w:tc>
      </w:tr>
      <w:tr>
        <w:tblPrEx>
          <w:tblLayout w:type="fixed"/>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r>
      <w:tr>
        <w:tblPrEx>
          <w:tblLayout w:type="fixed"/>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r>
      <w:tr>
        <w:tblPrEx>
          <w:tblLayout w:type="fixed"/>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b/>
                <w:color w:val="333333"/>
                <w:kern w:val="0"/>
                <w:sz w:val="24"/>
              </w:rPr>
              <w:t>第二十条第（八）项</w:t>
            </w:r>
          </w:p>
        </w:tc>
      </w:tr>
      <w:tr>
        <w:tblPrEx>
          <w:tblLayout w:type="fixed"/>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本年增/减</w:t>
            </w:r>
          </w:p>
        </w:tc>
      </w:tr>
      <w:tr>
        <w:tblPrEx>
          <w:tblLayout w:type="fixed"/>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Calibri" w:eastAsia="宋体" w:cs="Times New Roman"/>
                <w:color w:val="000000"/>
                <w:kern w:val="0"/>
                <w:sz w:val="24"/>
              </w:rPr>
              <w:t>0</w:t>
            </w:r>
          </w:p>
        </w:tc>
      </w:tr>
      <w:tr>
        <w:tblPrEx>
          <w:tblLayout w:type="fixed"/>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b/>
                <w:color w:val="333333"/>
                <w:kern w:val="0"/>
                <w:sz w:val="24"/>
              </w:rPr>
              <w:t>第二十条第（九）项</w:t>
            </w:r>
          </w:p>
        </w:tc>
      </w:tr>
      <w:tr>
        <w:tblPrEx>
          <w:tblLayout w:type="fixed"/>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采购总金额</w:t>
            </w:r>
          </w:p>
        </w:tc>
      </w:tr>
      <w:tr>
        <w:tblPrEx>
          <w:tblLayout w:type="fixed"/>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5</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000000"/>
                <w:kern w:val="0"/>
                <w:sz w:val="24"/>
              </w:rPr>
            </w:pPr>
            <w:r>
              <w:rPr>
                <w:rFonts w:ascii="宋体" w:hAnsi="宋体" w:eastAsia="宋体" w:cs="宋体"/>
                <w:color w:val="000000"/>
                <w:kern w:val="0"/>
                <w:sz w:val="24"/>
              </w:rPr>
              <w:t>939.369576万元</w:t>
            </w:r>
          </w:p>
        </w:tc>
      </w:tr>
    </w:tbl>
    <w:p>
      <w:pPr>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5"/>
        <w:tblW w:w="99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993"/>
        <w:gridCol w:w="2417"/>
        <w:gridCol w:w="985"/>
        <w:gridCol w:w="1007"/>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7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（本列数据的勾稽关系为：第一项加第二项之和，等于第三项加第四项之和）</w:t>
            </w:r>
          </w:p>
        </w:tc>
        <w:tc>
          <w:tcPr>
            <w:tcW w:w="5994"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7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8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自然人</w:t>
            </w:r>
          </w:p>
        </w:tc>
        <w:tc>
          <w:tcPr>
            <w:tcW w:w="4307"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7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宋体" w:cs="Times New Roman"/>
                <w:color w:val="333333"/>
                <w:szCs w:val="21"/>
              </w:rPr>
            </w:pPr>
            <w:r>
              <w:rPr>
                <w:rFonts w:hint="eastAsia" w:ascii="Calibri" w:hAnsi="Calibri" w:eastAsia="宋体" w:cs="Times New Roman"/>
                <w:color w:val="333333"/>
                <w:szCs w:val="21"/>
              </w:rPr>
              <w:t>商业</w:t>
            </w:r>
          </w:p>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3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一、本年新收政府信息公开申请数量</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3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二、上年结转政府信息公开申请数量</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三、本年度办理结果</w:t>
            </w:r>
          </w:p>
        </w:tc>
        <w:tc>
          <w:tcPr>
            <w:tcW w:w="341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（一）予以公开</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341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（三）不予公开</w:t>
            </w: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1.属于国家秘密</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2.其他法律行政法规禁止公开</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3.危及“三安全一稳定”</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4.保护第三方合法权益</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5.属于三类内部事务信息</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6.属于四类过程性信息</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7.属于行政执法案卷</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8.属于行政查询事项</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（四）无法提供</w:t>
            </w: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1.本机关不掌握相关政府信息</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2.没有现成信息需要另行制作</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3.补正后申请内容仍不明确</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（五）不予处理</w:t>
            </w: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1.信访举报投诉类申请</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2.重复申请</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3.要求提供公开出版物</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4.无正当理由大量反复申请</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5.要求行政机关确认或重新出具已获取信息</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341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（六）其他处理</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341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（七）总计</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四、结转下年度继续办理</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bl>
    <w:p>
      <w:pPr>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5"/>
        <w:tblW w:w="10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707"/>
        <w:gridCol w:w="707"/>
        <w:gridCol w:w="707"/>
        <w:gridCol w:w="566"/>
        <w:gridCol w:w="707"/>
        <w:gridCol w:w="706"/>
        <w:gridCol w:w="755"/>
        <w:gridCol w:w="659"/>
        <w:gridCol w:w="548"/>
        <w:gridCol w:w="725"/>
        <w:gridCol w:w="699"/>
        <w:gridCol w:w="714"/>
        <w:gridCol w:w="708"/>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8"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0"/>
                <w:szCs w:val="20"/>
              </w:rPr>
              <w:t>行政复议</w:t>
            </w:r>
          </w:p>
        </w:tc>
        <w:tc>
          <w:tcPr>
            <w:tcW w:w="6638"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731" w:type="dxa"/>
            <w:vMerge w:val="restart"/>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Times New Roman"/>
                <w:color w:val="333333"/>
                <w:sz w:val="20"/>
                <w:szCs w:val="20"/>
              </w:rPr>
            </w:pPr>
            <w:r>
              <w:rPr>
                <w:rFonts w:hint="eastAsia" w:ascii="Calibri" w:hAnsi="Calibri" w:eastAsia="宋体" w:cs="Times New Roman"/>
                <w:color w:val="333333"/>
                <w:sz w:val="20"/>
                <w:szCs w:val="20"/>
              </w:rPr>
              <w:t>结果</w:t>
            </w:r>
          </w:p>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维持</w:t>
            </w:r>
          </w:p>
        </w:tc>
        <w:tc>
          <w:tcPr>
            <w:tcW w:w="707"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结果纠正</w:t>
            </w:r>
          </w:p>
        </w:tc>
        <w:tc>
          <w:tcPr>
            <w:tcW w:w="70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其他结果</w:t>
            </w:r>
          </w:p>
        </w:tc>
        <w:tc>
          <w:tcPr>
            <w:tcW w:w="70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尚未审结</w:t>
            </w:r>
          </w:p>
        </w:tc>
        <w:tc>
          <w:tcPr>
            <w:tcW w:w="566"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总计</w:t>
            </w:r>
          </w:p>
        </w:tc>
        <w:tc>
          <w:tcPr>
            <w:tcW w:w="337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未经复议直接起诉</w:t>
            </w:r>
          </w:p>
        </w:tc>
        <w:tc>
          <w:tcPr>
            <w:tcW w:w="3263"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rPr>
            </w:pPr>
          </w:p>
        </w:tc>
        <w:tc>
          <w:tcPr>
            <w:tcW w:w="707"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 w:val="24"/>
              </w:rPr>
            </w:pPr>
          </w:p>
        </w:tc>
        <w:tc>
          <w:tcPr>
            <w:tcW w:w="7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rPr>
            </w:pPr>
          </w:p>
        </w:tc>
        <w:tc>
          <w:tcPr>
            <w:tcW w:w="7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rPr>
            </w:pPr>
          </w:p>
        </w:tc>
        <w:tc>
          <w:tcPr>
            <w:tcW w:w="5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rPr>
            </w:pPr>
          </w:p>
        </w:tc>
        <w:tc>
          <w:tcPr>
            <w:tcW w:w="7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结果维持</w:t>
            </w:r>
          </w:p>
        </w:tc>
        <w:tc>
          <w:tcPr>
            <w:tcW w:w="70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结果纠正</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其他结果</w:t>
            </w:r>
          </w:p>
        </w:tc>
        <w:tc>
          <w:tcPr>
            <w:tcW w:w="65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尚未审结</w:t>
            </w:r>
          </w:p>
        </w:tc>
        <w:tc>
          <w:tcPr>
            <w:tcW w:w="54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宋体" w:hAnsi="宋体" w:eastAsia="宋体" w:cs="宋体"/>
                <w:color w:val="000000"/>
                <w:kern w:val="0"/>
                <w:sz w:val="20"/>
                <w:szCs w:val="20"/>
              </w:rPr>
              <w:t>总计</w:t>
            </w:r>
          </w:p>
        </w:tc>
        <w:tc>
          <w:tcPr>
            <w:tcW w:w="7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结果维持</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结果纠正</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宋体" w:hAnsi="宋体" w:eastAsia="宋体" w:cs="宋体"/>
                <w:color w:val="000000"/>
                <w:kern w:val="0"/>
                <w:sz w:val="20"/>
                <w:szCs w:val="20"/>
              </w:rPr>
              <w:t>其他结果</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尚未审结</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56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7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75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6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54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宋体" w:hAnsi="宋体" w:eastAsia="宋体" w:cs="宋体"/>
                <w:color w:val="000000"/>
                <w:kern w:val="0"/>
                <w:sz w:val="24"/>
              </w:rPr>
              <w:t>0</w:t>
            </w:r>
          </w:p>
        </w:tc>
        <w:tc>
          <w:tcPr>
            <w:tcW w:w="7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69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71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宋体" w:hAnsi="宋体" w:eastAsia="宋体" w:cs="宋体"/>
                <w:color w:val="000000"/>
                <w:kern w:val="0"/>
                <w:sz w:val="24"/>
              </w:rPr>
              <w:t>0</w:t>
            </w:r>
          </w:p>
        </w:tc>
        <w:tc>
          <w:tcPr>
            <w:tcW w:w="70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417" w:type="dxa"/>
            <w:tcBorders>
              <w:top w:val="single" w:color="auto" w:sz="4" w:space="0"/>
              <w:left w:val="nil"/>
              <w:bottom w:val="single" w:color="auto" w:sz="4" w:space="0"/>
              <w:right w:val="single" w:color="auto" w:sz="4" w:space="0"/>
            </w:tcBorders>
            <w:vAlign w:val="center"/>
          </w:tcPr>
          <w:p>
            <w:pPr>
              <w:widowControl/>
              <w:spacing w:line="48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存在的主要问题及改进情况</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田镇街道信息公开工作虽然取得了一定的成效，但与建设法治政府的新要求、人民群众的新期待，还存在一些差距。主要表现为：一方面，政务公开的广度还需进一步拓展。信息公开还不够全面、及时、准确，政府信息公开目录不够规范，不便于公众查询信息。另一方面，政务公开的深度还需进一步延伸。政策解读形式单一、解读质量不高，政务新媒体互动性不强，与民众沟通有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田镇街道政务公开将重点围绕以下两方面开展工作：一是坚持全面真实、及时便民的原则。严格按照法律法规和有关政策规定，对各类行政管理和公共服务事项，除涉及国家秘密和依法受到保护的商业秘密、个人隐私之外，都要如实公开。按照规定制度和程序，对应该公开的事项，采用方便、快捷的方式及时公开。二是坚持突出重点、整体推进的原则。加大政策解读力度，落实国家、省、市关于做好政策解读回应的相关规定，运用数字、图表、图解等方式，增强政策解读的易读性、生动性。充分利用网络、电视、广播、报刊等媒体，提高微博、微信互动率，同步发展促进，切实做好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本报告所列数据可能因四舍五入原因与数据直接相加之和存在尾数差异。</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高青县田镇街道办事处</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2020年1月15日</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0A122"/>
    <w:multiLevelType w:val="singleLevel"/>
    <w:tmpl w:val="6A80A12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C51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www.zibo.gov.cn/jcms/jcms_files/jcms1/web58/site/picture/0/629de8733d0841efbdca1a95a8a45d2c.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2021-01-29T07:00:14Z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