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auto"/>
          <w:sz w:val="44"/>
          <w:szCs w:val="44"/>
        </w:rPr>
        <w:t>高青县</w:t>
      </w:r>
      <w:r>
        <w:rPr>
          <w:rFonts w:hint="eastAsia" w:ascii="方正小标宋简体" w:hAnsi="方正小标宋简体" w:eastAsia="方正小标宋简体" w:cs="方正小标宋简体"/>
          <w:color w:val="000000"/>
          <w:sz w:val="44"/>
          <w:szCs w:val="44"/>
        </w:rPr>
        <w:t>田镇街道</w:t>
      </w:r>
      <w:r>
        <w:rPr>
          <w:rFonts w:hint="eastAsia" w:ascii="方正小标宋简体" w:hAnsi="方正小标宋简体" w:eastAsia="方正小标宋简体" w:cs="方正小标宋简体"/>
          <w:color w:val="auto"/>
          <w:sz w:val="44"/>
          <w:szCs w:val="44"/>
        </w:rPr>
        <w:t>办事处</w:t>
      </w:r>
      <w:r>
        <w:rPr>
          <w:rFonts w:hint="eastAsia" w:ascii="方正小标宋简体" w:hAnsi="方正小标宋简体" w:eastAsia="方正小标宋简体" w:cs="方正小标宋简体"/>
          <w:color w:val="000000"/>
          <w:sz w:val="44"/>
          <w:szCs w:val="44"/>
        </w:rPr>
        <w:t>2020年政府信息公开</w:t>
      </w:r>
      <w:r>
        <w:rPr>
          <w:rFonts w:hint="eastAsia" w:ascii="方正小标宋简体" w:hAnsi="方正小标宋简体" w:eastAsia="方正小标宋简体" w:cs="方正小标宋简体"/>
          <w:color w:val="auto"/>
          <w:sz w:val="44"/>
          <w:szCs w:val="44"/>
        </w:rPr>
        <w:t>工作</w:t>
      </w:r>
      <w:r>
        <w:rPr>
          <w:rFonts w:hint="eastAsia" w:ascii="方正小标宋简体" w:hAnsi="方正小标宋简体" w:eastAsia="方正小标宋简体" w:cs="方正小标宋简体"/>
          <w:color w:val="000000"/>
          <w:sz w:val="44"/>
          <w:szCs w:val="44"/>
        </w:rPr>
        <w:t>年度报告</w:t>
      </w:r>
    </w:p>
    <w:p>
      <w:pPr>
        <w:pStyle w:val="5"/>
        <w:widowControl/>
        <w:spacing w:beforeAutospacing="0" w:afterAutospacing="0" w:line="560" w:lineRule="exact"/>
        <w:jc w:val="center"/>
        <w:rPr>
          <w:rFonts w:ascii="Times New Roman" w:hAnsi="Times New Roman" w:eastAsia="方正小标宋简体"/>
          <w:color w:val="000000"/>
          <w:sz w:val="44"/>
          <w:szCs w:val="44"/>
        </w:rPr>
      </w:pPr>
    </w:p>
    <w:p>
      <w:pPr>
        <w:pStyle w:val="5"/>
        <w:widowControl/>
        <w:spacing w:beforeAutospacing="0" w:afterAutospacing="0"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本报告根据《中华人民共和国政府信息公开条例》（国务院令第711号，以下简称《条例》）要求，由高青县田镇街道办事处党政办综合本单位政府信息公开工作情况编制。</w:t>
      </w:r>
    </w:p>
    <w:p>
      <w:pPr>
        <w:pStyle w:val="5"/>
        <w:widowControl/>
        <w:spacing w:beforeAutospacing="0" w:afterAutospacing="0"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报告全文由总体情况、主动公开政府信息情况、收到和处理政府信息公开申请情况、政府信息公开行政复议行政诉讼情况、存在的主要问题及改进情况、其他需要报告的事项6个部分组成。</w:t>
      </w:r>
    </w:p>
    <w:p>
      <w:pPr>
        <w:pStyle w:val="5"/>
        <w:widowControl/>
        <w:spacing w:beforeAutospacing="0" w:afterAutospacing="0"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报告中所列数据统计期限自2020年1月1日始，至2020年12月31日止。报告电子版可在高青县人民政府门户网站（www.gaoqing.gov.cn）查阅和下载。如对报告内容有疑问，请与高青县田镇街道办事处党政办联系（地址：高青县黄河路903号；邮编：256300；电话：0533</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6961342；传真：0533</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6961342）。</w:t>
      </w:r>
    </w:p>
    <w:p>
      <w:pPr>
        <w:pStyle w:val="5"/>
        <w:widowControl/>
        <w:spacing w:beforeAutospacing="0" w:afterAutospacing="0"/>
        <w:rPr>
          <w:rFonts w:hint="eastAsia" w:ascii="Times New Roman" w:hAnsi="Times New Roman" w:eastAsia="黑体"/>
          <w:color w:val="000000"/>
          <w:sz w:val="32"/>
          <w:szCs w:val="32"/>
        </w:rPr>
      </w:pPr>
      <w:r>
        <w:rPr>
          <w:rFonts w:ascii="Times New Roman" w:hAnsi="Times New Roman" w:eastAsia="黑体"/>
          <w:color w:val="000000"/>
          <w:sz w:val="32"/>
          <w:szCs w:val="32"/>
        </w:rPr>
        <w:drawing>
          <wp:inline distT="0" distB="0" distL="0" distR="0">
            <wp:extent cx="5616575" cy="2542540"/>
            <wp:effectExtent l="0" t="0" r="0" b="0"/>
            <wp:docPr id="2" name="图片 2" descr="C:\Users\Administrator.luobo-504031037\Desktop\田镇街道全景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luobo-504031037\Desktop\田镇街道全景图.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616575" cy="2542563"/>
                    </a:xfrm>
                    <a:prstGeom prst="rect">
                      <a:avLst/>
                    </a:prstGeom>
                    <a:noFill/>
                    <a:ln>
                      <a:noFill/>
                    </a:ln>
                  </pic:spPr>
                </pic:pic>
              </a:graphicData>
            </a:graphic>
          </wp:inline>
        </w:drawing>
      </w:r>
    </w:p>
    <w:p>
      <w:pPr>
        <w:pStyle w:val="5"/>
        <w:widowControl/>
        <w:spacing w:beforeAutospacing="0" w:afterAutospacing="0" w:line="560" w:lineRule="exact"/>
        <w:ind w:left="640"/>
        <w:rPr>
          <w:rFonts w:ascii="Times New Roman" w:hAnsi="Times New Roman" w:eastAsia="黑体"/>
          <w:color w:val="000000"/>
          <w:sz w:val="32"/>
          <w:szCs w:val="32"/>
        </w:rPr>
      </w:pPr>
      <w:r>
        <w:rPr>
          <w:rFonts w:hint="eastAsia" w:ascii="Times New Roman" w:hAnsi="Times New Roman" w:eastAsia="黑体"/>
          <w:color w:val="000000"/>
          <w:sz w:val="32"/>
          <w:szCs w:val="32"/>
        </w:rPr>
        <w:t>一、</w:t>
      </w:r>
      <w:r>
        <w:rPr>
          <w:rFonts w:ascii="Times New Roman" w:hAnsi="Times New Roman" w:eastAsia="黑体"/>
          <w:color w:val="000000"/>
          <w:sz w:val="32"/>
          <w:szCs w:val="32"/>
        </w:rPr>
        <w:t>总体情况</w:t>
      </w:r>
      <w:r>
        <w:rPr>
          <w:rFonts w:hint="eastAsia" w:ascii="Times New Roman" w:hAnsi="Times New Roman" w:eastAsia="黑体"/>
          <w:color w:val="000000"/>
          <w:sz w:val="32"/>
          <w:szCs w:val="32"/>
        </w:rPr>
        <w:t xml:space="preserve">          </w:t>
      </w:r>
    </w:p>
    <w:p>
      <w:pPr>
        <w:pStyle w:val="5"/>
        <w:widowControl/>
        <w:adjustRightInd w:val="0"/>
        <w:snapToGrid w:val="0"/>
        <w:spacing w:beforeAutospacing="0" w:afterAutospacing="0" w:line="560" w:lineRule="exact"/>
        <w:ind w:firstLine="640" w:firstLineChars="200"/>
        <w:jc w:val="both"/>
        <w:rPr>
          <w:rFonts w:ascii="Times New Roman" w:hAnsi="Times New Roman" w:eastAsia="楷体_GB2312"/>
          <w:color w:val="000000"/>
          <w:sz w:val="32"/>
          <w:szCs w:val="32"/>
        </w:rPr>
      </w:pPr>
      <w:r>
        <w:rPr>
          <w:rFonts w:ascii="Times New Roman" w:hAnsi="Times New Roman" w:eastAsia="楷体_GB2312"/>
          <w:color w:val="000000"/>
          <w:sz w:val="32"/>
          <w:szCs w:val="32"/>
        </w:rPr>
        <w:t>（一）体制机制建设</w:t>
      </w:r>
    </w:p>
    <w:p>
      <w:pPr>
        <w:pStyle w:val="5"/>
        <w:widowControl/>
        <w:adjustRightInd w:val="0"/>
        <w:snapToGrid w:val="0"/>
        <w:spacing w:beforeAutospacing="0" w:afterAutospacing="0" w:line="560" w:lineRule="exact"/>
        <w:ind w:firstLine="640" w:firstLineChars="200"/>
        <w:jc w:val="both"/>
        <w:rPr>
          <w:rFonts w:ascii="Times New Roman" w:hAnsi="Times New Roman" w:eastAsia="仿宋_GB2312"/>
          <w:color w:val="000000"/>
          <w:sz w:val="32"/>
          <w:szCs w:val="32"/>
        </w:rPr>
      </w:pPr>
      <w:r>
        <w:rPr>
          <w:rFonts w:ascii="Times New Roman" w:hAnsi="Times New Roman" w:eastAsia="仿宋_GB2312"/>
          <w:color w:val="000000"/>
          <w:sz w:val="32"/>
          <w:szCs w:val="32"/>
        </w:rPr>
        <w:t>2020年，田镇街道明确由党工委委员、党政办主任担任政务公开工作分管领导，进一步明确田镇街道党政办公室作为政务公开工作主管科室，1名党政办工作人员负责政务公开工作，具体负责组织协调、指导推进、监督检查全县政务公开工作，切实做到机构到位、责任到位、人员到位、经费到位，政务公开工作队伍建设进一步加强。</w:t>
      </w:r>
    </w:p>
    <w:p>
      <w:pPr>
        <w:pStyle w:val="5"/>
        <w:widowControl/>
        <w:adjustRightInd w:val="0"/>
        <w:snapToGrid w:val="0"/>
        <w:spacing w:beforeAutospacing="0" w:afterAutospacing="0" w:line="560" w:lineRule="exact"/>
        <w:ind w:firstLine="480" w:firstLineChars="200"/>
        <w:jc w:val="both"/>
        <w:rPr>
          <w:rFonts w:hint="eastAsia" w:ascii="Times New Roman" w:hAnsi="Times New Roman" w:eastAsia="仿宋_GB2312"/>
          <w:color w:val="000000"/>
          <w:sz w:val="32"/>
          <w:szCs w:val="32"/>
        </w:rPr>
      </w:pPr>
      <w:r>
        <w:drawing>
          <wp:anchor distT="0" distB="0" distL="114300" distR="114300" simplePos="0" relativeHeight="251659264" behindDoc="0" locked="0" layoutInCell="1" allowOverlap="1">
            <wp:simplePos x="0" y="0"/>
            <wp:positionH relativeFrom="margin">
              <wp:posOffset>1068705</wp:posOffset>
            </wp:positionH>
            <wp:positionV relativeFrom="margin">
              <wp:posOffset>4855210</wp:posOffset>
            </wp:positionV>
            <wp:extent cx="4610100" cy="290195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10100" cy="2901950"/>
                    </a:xfrm>
                    <a:prstGeom prst="rect">
                      <a:avLst/>
                    </a:prstGeom>
                  </pic:spPr>
                </pic:pic>
              </a:graphicData>
            </a:graphic>
          </wp:anchor>
        </w:drawing>
      </w:r>
      <w:r>
        <w:rPr>
          <w:rFonts w:ascii="Times New Roman" w:hAnsi="Times New Roman" w:eastAsia="仿宋_GB2312"/>
          <w:color w:val="000000"/>
          <w:sz w:val="32"/>
          <w:szCs w:val="32"/>
        </w:rPr>
        <w:t>另外，</w:t>
      </w:r>
      <w:r>
        <w:rPr>
          <w:rFonts w:ascii="Times New Roman" w:hAnsi="Times New Roman" w:eastAsia="仿宋_GB2312"/>
          <w:color w:val="auto"/>
          <w:sz w:val="32"/>
          <w:szCs w:val="32"/>
        </w:rPr>
        <w:t>《中华人民共和国政府信息公开条例》</w:t>
      </w:r>
      <w:r>
        <w:rPr>
          <w:rFonts w:hint="eastAsia" w:ascii="Times New Roman" w:hAnsi="Times New Roman" w:eastAsia="仿宋_GB2312"/>
          <w:color w:val="auto"/>
          <w:sz w:val="32"/>
          <w:szCs w:val="32"/>
        </w:rPr>
        <w:t>修订后</w:t>
      </w:r>
      <w:r>
        <w:rPr>
          <w:rFonts w:ascii="Times New Roman" w:hAnsi="Times New Roman" w:eastAsia="仿宋_GB2312"/>
          <w:color w:val="auto"/>
          <w:sz w:val="32"/>
          <w:szCs w:val="32"/>
        </w:rPr>
        <w:t>，</w:t>
      </w:r>
      <w:r>
        <w:rPr>
          <w:rFonts w:ascii="Times New Roman" w:hAnsi="Times New Roman" w:eastAsia="仿宋_GB2312"/>
          <w:color w:val="000000"/>
          <w:sz w:val="32"/>
          <w:szCs w:val="32"/>
        </w:rPr>
        <w:t>田镇街道高度重视，在县委、县政府的指导下，编制完成了《高青县田镇街道办事处主动公开基本目录》，进一步明确重点领域、公开事项、公开方式、责任单位等具体要求，督促各部门、单位切实抓好各项任务落实，进一步加强公文公开属性管理，文件拟稿纸设有公开属性栏目，文件起草审核过程中同步确定其公开属性，进一步规范了政府公文公开程序和渠道。</w:t>
      </w:r>
    </w:p>
    <w:p>
      <w:pPr>
        <w:pStyle w:val="5"/>
        <w:widowControl/>
        <w:adjustRightInd w:val="0"/>
        <w:snapToGrid w:val="0"/>
        <w:spacing w:beforeAutospacing="0" w:afterAutospacing="0" w:line="560" w:lineRule="exact"/>
        <w:ind w:firstLine="640" w:firstLineChars="200"/>
        <w:jc w:val="both"/>
        <w:rPr>
          <w:rFonts w:ascii="Times New Roman" w:hAnsi="Times New Roman" w:eastAsia="楷体_GB2312"/>
          <w:color w:val="000000"/>
          <w:sz w:val="32"/>
          <w:szCs w:val="32"/>
        </w:rPr>
      </w:pPr>
      <w:r>
        <w:rPr>
          <w:rFonts w:ascii="Times New Roman" w:hAnsi="Times New Roman" w:eastAsia="楷体_GB2312"/>
          <w:color w:val="000000"/>
          <w:sz w:val="32"/>
          <w:szCs w:val="32"/>
        </w:rPr>
        <w:t>（二）主动公开</w:t>
      </w:r>
    </w:p>
    <w:p>
      <w:pPr>
        <w:pStyle w:val="5"/>
        <w:widowControl/>
        <w:adjustRightInd w:val="0"/>
        <w:snapToGrid w:val="0"/>
        <w:spacing w:beforeAutospacing="0" w:afterAutospacing="0" w:line="560" w:lineRule="exact"/>
        <w:ind w:firstLine="640" w:firstLineChars="200"/>
        <w:rPr>
          <w:rFonts w:hint="eastAsia" w:ascii="Times New Roman" w:hAnsi="Times New Roman" w:eastAsia="仿宋_GB2312"/>
          <w:color w:val="000000"/>
          <w:sz w:val="32"/>
          <w:szCs w:val="32"/>
        </w:rPr>
      </w:pPr>
      <w:r>
        <w:rPr>
          <w:rFonts w:ascii="Times New Roman" w:hAnsi="Times New Roman" w:eastAsia="仿宋_GB2312"/>
          <w:color w:val="000000"/>
          <w:sz w:val="32"/>
          <w:szCs w:val="32"/>
        </w:rPr>
        <w:t>2020年，田镇街道根据《高青县田镇街道办事处主动公开基本目录》，主动公开了机构职能、政策文件、规划计划、重要部署执行、建议提案办理、财政信息、应急管理、优化营商环境等多个试点领域标准目录、政务公开组织管理、公共资源配置及其他方面信息。</w:t>
      </w:r>
    </w:p>
    <w:p>
      <w:pPr>
        <w:pStyle w:val="5"/>
        <w:widowControl/>
        <w:adjustRightInd w:val="0"/>
        <w:snapToGrid w:val="0"/>
        <w:spacing w:beforeAutospacing="0" w:afterAutospacing="0"/>
        <w:ind w:firstLine="640" w:firstLineChars="200"/>
        <w:rPr>
          <w:rFonts w:hint="eastAsia" w:ascii="Times New Roman" w:hAnsi="Times New Roman" w:eastAsia="仿宋_GB2312"/>
          <w:color w:val="000000"/>
          <w:sz w:val="32"/>
          <w:szCs w:val="32"/>
        </w:rPr>
      </w:pPr>
    </w:p>
    <w:p>
      <w:pPr>
        <w:pStyle w:val="5"/>
        <w:widowControl/>
        <w:adjustRightInd w:val="0"/>
        <w:snapToGrid w:val="0"/>
        <w:spacing w:beforeAutospacing="0" w:afterAutospacing="0"/>
        <w:ind w:firstLine="640" w:firstLineChars="200"/>
        <w:rPr>
          <w:rFonts w:hint="eastAsia" w:ascii="Times New Roman" w:hAnsi="Times New Roman" w:eastAsia="仿宋_GB2312"/>
          <w:color w:val="000000"/>
          <w:sz w:val="32"/>
          <w:szCs w:val="32"/>
        </w:rPr>
      </w:pPr>
      <w:r>
        <w:rPr>
          <w:rFonts w:ascii="Times New Roman" w:hAnsi="Times New Roman" w:eastAsia="黑体"/>
          <w:color w:val="000000"/>
          <w:sz w:val="32"/>
          <w:szCs w:val="32"/>
        </w:rPr>
        <w:drawing>
          <wp:inline distT="0" distB="0" distL="0" distR="0">
            <wp:extent cx="3919855" cy="3628390"/>
            <wp:effectExtent l="0" t="0" r="0" b="0"/>
            <wp:docPr id="5" name="图片 5" descr="微信图片_20210128185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10128185809"/>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20400" cy="3628800"/>
                    </a:xfrm>
                    <a:prstGeom prst="rect">
                      <a:avLst/>
                    </a:prstGeom>
                  </pic:spPr>
                </pic:pic>
              </a:graphicData>
            </a:graphic>
          </wp:inline>
        </w:drawing>
      </w:r>
    </w:p>
    <w:p>
      <w:pPr>
        <w:pStyle w:val="5"/>
        <w:widowControl/>
        <w:adjustRightInd w:val="0"/>
        <w:snapToGrid w:val="0"/>
        <w:spacing w:beforeAutospacing="0" w:afterAutospacing="0" w:line="560" w:lineRule="exact"/>
        <w:ind w:firstLine="640" w:firstLineChars="200"/>
        <w:rPr>
          <w:rFonts w:hint="eastAsia" w:ascii="Times New Roman" w:hAnsi="Times New Roman" w:eastAsia="仿宋_GB2312"/>
          <w:color w:val="auto"/>
          <w:sz w:val="32"/>
          <w:szCs w:val="32"/>
        </w:rPr>
      </w:pPr>
      <w:r>
        <w:rPr>
          <w:rFonts w:ascii="Times New Roman" w:hAnsi="Times New Roman" w:eastAsia="仿宋_GB2312"/>
          <w:color w:val="000000"/>
          <w:sz w:val="32"/>
          <w:szCs w:val="32"/>
        </w:rPr>
        <w:t>其中，在人大代表建议和政协委员提案办理结果公开方面：2020年田镇街道收到1件县人大代表建议，答复1件</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收到3件政协委员提案，答复3件。</w:t>
      </w:r>
      <w:r>
        <w:rPr>
          <w:rFonts w:hint="eastAsia" w:ascii="Times New Roman" w:hAnsi="Times New Roman" w:eastAsia="仿宋_GB2312"/>
          <w:color w:val="auto"/>
          <w:sz w:val="32"/>
          <w:szCs w:val="32"/>
        </w:rPr>
        <w:t>办理结果均通过高青县政府门户网站进行公开。</w:t>
      </w:r>
    </w:p>
    <w:p>
      <w:pPr>
        <w:pStyle w:val="5"/>
        <w:widowControl/>
        <w:adjustRightInd w:val="0"/>
        <w:snapToGrid w:val="0"/>
        <w:spacing w:beforeAutospacing="0" w:afterAutospacing="0"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在财政信息公开方面：按照《高青县政府预算决算公开暂行办法》(高财字〔2014〕88号)和《高青县县级“三公”经费预算管理和公开暂行办法》(高财字〔2014〕89号)要求，除涉密信息外，将2020年全街道政府预算和2019年政府决算信息全部在高青县政府网站进行公开。</w:t>
      </w:r>
    </w:p>
    <w:p>
      <w:pPr>
        <w:pStyle w:val="5"/>
        <w:widowControl/>
        <w:numPr>
          <w:ilvl w:val="0"/>
          <w:numId w:val="1"/>
        </w:numPr>
        <w:adjustRightInd w:val="0"/>
        <w:snapToGrid w:val="0"/>
        <w:spacing w:beforeAutospacing="0" w:afterAutospacing="0" w:line="560" w:lineRule="exact"/>
        <w:ind w:firstLine="640" w:firstLineChars="200"/>
        <w:rPr>
          <w:rFonts w:ascii="Times New Roman" w:hAnsi="Times New Roman" w:eastAsia="楷体_GB2312"/>
          <w:color w:val="000000"/>
          <w:sz w:val="32"/>
          <w:szCs w:val="32"/>
        </w:rPr>
      </w:pPr>
      <w:r>
        <w:rPr>
          <w:rFonts w:ascii="Times New Roman" w:hAnsi="Times New Roman" w:eastAsia="楷体_GB2312"/>
          <w:color w:val="000000"/>
          <w:sz w:val="32"/>
          <w:szCs w:val="32"/>
        </w:rPr>
        <w:t>依申请公开</w:t>
      </w:r>
    </w:p>
    <w:p>
      <w:pPr>
        <w:pStyle w:val="5"/>
        <w:widowControl/>
        <w:adjustRightInd w:val="0"/>
        <w:snapToGrid w:val="0"/>
        <w:spacing w:beforeAutospacing="0" w:afterAutospacing="0" w:line="56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1.收到和处理政府信息公开申请情况</w:t>
      </w:r>
    </w:p>
    <w:p>
      <w:pPr>
        <w:pStyle w:val="5"/>
        <w:widowControl/>
        <w:adjustRightInd w:val="0"/>
        <w:snapToGrid w:val="0"/>
        <w:spacing w:beforeAutospacing="0" w:afterAutospacing="0"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2020年，我街道未收到政府信息公开申请。</w:t>
      </w:r>
    </w:p>
    <w:p>
      <w:pPr>
        <w:pStyle w:val="5"/>
        <w:widowControl/>
        <w:adjustRightInd w:val="0"/>
        <w:snapToGrid w:val="0"/>
        <w:spacing w:beforeAutospacing="0" w:afterAutospacing="0"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2.收费和减免情况</w:t>
      </w:r>
    </w:p>
    <w:p>
      <w:pPr>
        <w:pStyle w:val="5"/>
        <w:widowControl/>
        <w:adjustRightInd w:val="0"/>
        <w:snapToGrid w:val="0"/>
        <w:spacing w:beforeAutospacing="0" w:afterAutospacing="0"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2020年，我</w:t>
      </w:r>
      <w:r>
        <w:rPr>
          <w:rFonts w:hint="eastAsia" w:ascii="Times New Roman" w:hAnsi="Times New Roman" w:eastAsia="仿宋_GB2312"/>
          <w:color w:val="auto"/>
          <w:sz w:val="32"/>
          <w:szCs w:val="32"/>
        </w:rPr>
        <w:t>街道</w:t>
      </w:r>
      <w:r>
        <w:rPr>
          <w:rFonts w:ascii="Times New Roman" w:hAnsi="Times New Roman" w:eastAsia="仿宋_GB2312"/>
          <w:color w:val="000000"/>
          <w:sz w:val="32"/>
          <w:szCs w:val="32"/>
        </w:rPr>
        <w:t>在政府信息公开申请办理过程中，未收取任何费用。</w:t>
      </w:r>
    </w:p>
    <w:p>
      <w:pPr>
        <w:pStyle w:val="5"/>
        <w:widowControl/>
        <w:adjustRightInd w:val="0"/>
        <w:snapToGrid w:val="0"/>
        <w:spacing w:beforeAutospacing="0" w:afterAutospacing="0"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3.政府信息公开行政复议、行政诉讼情况</w:t>
      </w:r>
    </w:p>
    <w:p>
      <w:pPr>
        <w:pStyle w:val="5"/>
        <w:widowControl/>
        <w:adjustRightInd w:val="0"/>
        <w:snapToGrid w:val="0"/>
        <w:spacing w:beforeAutospacing="0" w:afterAutospacing="0"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2020年，我街道因政府信息公开被申请行政复议0件，被提起行政诉讼0件。</w:t>
      </w:r>
    </w:p>
    <w:p>
      <w:pPr>
        <w:pStyle w:val="5"/>
        <w:widowControl/>
        <w:adjustRightInd w:val="0"/>
        <w:snapToGrid w:val="0"/>
        <w:spacing w:beforeAutospacing="0" w:afterAutospacing="0" w:line="560" w:lineRule="exact"/>
        <w:ind w:left="420" w:leftChars="200"/>
        <w:jc w:val="both"/>
        <w:rPr>
          <w:rFonts w:ascii="Times New Roman" w:hAnsi="Times New Roman" w:eastAsia="楷体_GB2312"/>
          <w:color w:val="000000"/>
          <w:sz w:val="32"/>
          <w:szCs w:val="32"/>
        </w:rPr>
      </w:pPr>
      <w:r>
        <w:rPr>
          <w:rFonts w:ascii="Times New Roman" w:hAnsi="Times New Roman" w:eastAsia="楷体_GB2312"/>
          <w:color w:val="000000"/>
          <w:sz w:val="32"/>
          <w:szCs w:val="32"/>
        </w:rPr>
        <w:t>（四）政府信息管理</w:t>
      </w:r>
    </w:p>
    <w:p>
      <w:pPr>
        <w:pStyle w:val="5"/>
        <w:widowControl/>
        <w:adjustRightInd w:val="0"/>
        <w:snapToGrid w:val="0"/>
        <w:spacing w:beforeAutospacing="0" w:afterAutospacing="0" w:line="560" w:lineRule="exact"/>
        <w:ind w:firstLine="640" w:firstLineChars="200"/>
        <w:jc w:val="both"/>
        <w:rPr>
          <w:rFonts w:ascii="Times New Roman" w:hAnsi="Times New Roman" w:eastAsia="仿宋_GB2312"/>
          <w:color w:val="000000"/>
          <w:sz w:val="32"/>
          <w:szCs w:val="32"/>
        </w:rPr>
      </w:pPr>
      <w:r>
        <w:rPr>
          <w:rFonts w:ascii="Times New Roman" w:hAnsi="Times New Roman" w:eastAsia="仿宋_GB2312"/>
          <w:color w:val="000000"/>
          <w:sz w:val="32"/>
          <w:szCs w:val="32"/>
        </w:rPr>
        <w:t>一是加强政府信息规范管理，及时清理废止、失效的政府信息。二是召开2020年度政务公开培训会，深入学习了《中华人民共和国政府信息公开条例》，深入分析了政务公开面临的新形势新任务新要求，并对省市县委关于全面推进政务公开工作的有关政策以及我街道政务公开职责任务、责任分工、工作标准和流程等内容进行了重点学习，切实提高了政务公开工作人员对此项工作的重视程度和业务水平，做到了机构到位、责任到位、人员到位。三是通过主动公开政务信息，宣传工信政策及动态，使政务信息公开更加及时、便民、透明。</w:t>
      </w:r>
    </w:p>
    <w:p>
      <w:pPr>
        <w:pStyle w:val="5"/>
        <w:widowControl/>
        <w:adjustRightInd w:val="0"/>
        <w:snapToGrid w:val="0"/>
        <w:spacing w:beforeAutospacing="0" w:afterAutospacing="0" w:line="560" w:lineRule="exact"/>
        <w:ind w:left="420" w:leftChars="200"/>
        <w:jc w:val="both"/>
        <w:rPr>
          <w:rFonts w:ascii="Times New Roman" w:hAnsi="Times New Roman" w:eastAsia="楷体_GB2312"/>
          <w:color w:val="000000"/>
          <w:sz w:val="32"/>
          <w:szCs w:val="32"/>
        </w:rPr>
      </w:pPr>
      <w:r>
        <w:rPr>
          <w:rFonts w:ascii="Times New Roman" w:hAnsi="Times New Roman" w:eastAsia="楷体_GB2312"/>
          <w:color w:val="000000"/>
          <w:sz w:val="32"/>
          <w:szCs w:val="32"/>
        </w:rPr>
        <w:t>（五）平台建设</w:t>
      </w:r>
    </w:p>
    <w:p>
      <w:pPr>
        <w:pStyle w:val="5"/>
        <w:widowControl/>
        <w:adjustRightInd w:val="0"/>
        <w:snapToGrid w:val="0"/>
        <w:spacing w:beforeAutospacing="0" w:afterAutospacing="0" w:line="560" w:lineRule="exact"/>
        <w:ind w:firstLine="480" w:firstLineChars="200"/>
        <w:rPr>
          <w:rFonts w:hint="eastAsia" w:ascii="Times New Roman" w:hAnsi="Times New Roman" w:eastAsia="仿宋_GB2312"/>
          <w:color w:val="000000"/>
          <w:sz w:val="32"/>
          <w:szCs w:val="32"/>
        </w:rPr>
      </w:pPr>
      <w:r>
        <w:drawing>
          <wp:anchor distT="0" distB="0" distL="114300" distR="114300" simplePos="0" relativeHeight="251660288" behindDoc="0" locked="0" layoutInCell="1" allowOverlap="1">
            <wp:simplePos x="0" y="0"/>
            <wp:positionH relativeFrom="margin">
              <wp:posOffset>2087880</wp:posOffset>
            </wp:positionH>
            <wp:positionV relativeFrom="margin">
              <wp:posOffset>1854835</wp:posOffset>
            </wp:positionV>
            <wp:extent cx="3533140" cy="588645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533140" cy="5886450"/>
                    </a:xfrm>
                    <a:prstGeom prst="rect">
                      <a:avLst/>
                    </a:prstGeom>
                  </pic:spPr>
                </pic:pic>
              </a:graphicData>
            </a:graphic>
          </wp:anchor>
        </w:drawing>
      </w:r>
      <w:r>
        <w:rPr>
          <w:rFonts w:ascii="Times New Roman" w:hAnsi="Times New Roman" w:eastAsia="仿宋_GB2312"/>
          <w:color w:val="000000"/>
          <w:sz w:val="32"/>
          <w:szCs w:val="32"/>
        </w:rPr>
        <w:t>2020年度，我街道加强了线上线下多个平台建设，充分发挥政府门户网站作为政务公开第一平台作用，线上主要对县政府网站政务公开版块、田镇街道办事处微信公众号两个平台进行了提升和优化，县政府网站政务公开版块设置了政府信息公开指南、政府信息公开目录、政府信息依申请公开等栏目，突出发布信息、解读政策、回应关切、政务服务等功能，公开各类政务信息。公开目录实行动态管理，及时根据国家和省市县部署要求，调整栏目版块，提高信息公开的全面性和及时性。在做好网站政务公开的基础上，利用微博、微信等媒体特性，增强与民众的沟通交流，2020年，共发布公众号信息289条。线下主要建设了政务公开体验区，在便民服务中心设立了一处集信息公开、服务展示、查阅办理、填报模拟于一体的政务公开体验区，企业、群众可查询浏览各类政府信息和办事服务内容，实现了政务公开和政务服务资源共享互通，让企业和群众通过体验区感受到权威性、一站式、个性化、方便快捷的政务公开与服务。</w:t>
      </w:r>
    </w:p>
    <w:p>
      <w:pPr>
        <w:pStyle w:val="5"/>
        <w:widowControl/>
        <w:adjustRightInd w:val="0"/>
        <w:snapToGrid w:val="0"/>
        <w:spacing w:beforeAutospacing="0" w:afterAutospacing="0" w:line="560" w:lineRule="exact"/>
        <w:ind w:left="420" w:leftChars="200"/>
        <w:jc w:val="both"/>
        <w:rPr>
          <w:rFonts w:ascii="Times New Roman" w:hAnsi="Times New Roman" w:eastAsia="楷体_GB2312"/>
          <w:color w:val="000000"/>
          <w:sz w:val="32"/>
          <w:szCs w:val="32"/>
        </w:rPr>
      </w:pPr>
      <w:r>
        <w:rPr>
          <w:rFonts w:ascii="Times New Roman" w:hAnsi="Times New Roman" w:eastAsia="楷体_GB2312"/>
          <w:color w:val="000000"/>
          <w:sz w:val="32"/>
          <w:szCs w:val="32"/>
        </w:rPr>
        <w:t>（六）监督保障</w:t>
      </w:r>
    </w:p>
    <w:p>
      <w:pPr>
        <w:pStyle w:val="5"/>
        <w:widowControl/>
        <w:adjustRightInd w:val="0"/>
        <w:snapToGrid w:val="0"/>
        <w:spacing w:beforeAutospacing="0" w:afterAutospacing="0" w:line="560" w:lineRule="exact"/>
        <w:ind w:firstLine="640" w:firstLineChars="200"/>
        <w:jc w:val="both"/>
        <w:rPr>
          <w:rFonts w:hint="eastAsia" w:ascii="Times New Roman" w:hAnsi="Times New Roman" w:eastAsia="仿宋_GB2312"/>
          <w:color w:val="000000"/>
          <w:sz w:val="32"/>
          <w:szCs w:val="32"/>
        </w:rPr>
      </w:pPr>
      <w:r>
        <w:rPr>
          <w:rFonts w:ascii="Times New Roman" w:hAnsi="Times New Roman" w:eastAsia="仿宋_GB2312"/>
          <w:color w:val="000000"/>
          <w:sz w:val="32"/>
          <w:szCs w:val="32"/>
        </w:rPr>
        <w:t>一是积极参加上级组织的业务培训会，提高政务公开工作人员网站管理、信息审核把关、依申请公开办理等综合能力。二是加强工作考核。建立健全完善工作考核机制，定期对政府信息公开工作人员进行考核培训，督促相关人员重视政府信息公开工作，切实提升相关工作综合素质与能力。三是强化责任。对于政府信息公开工作中出现的各类错误，必须高度重视，及时处理，建立政府信息公开工作问题台账，及时查漏补缺，严肃对待政府信息公开工作。</w:t>
      </w:r>
    </w:p>
    <w:p>
      <w:pPr>
        <w:pStyle w:val="5"/>
        <w:widowControl/>
        <w:adjustRightInd w:val="0"/>
        <w:snapToGrid w:val="0"/>
        <w:spacing w:beforeAutospacing="0" w:afterAutospacing="0" w:line="560" w:lineRule="exact"/>
        <w:jc w:val="both"/>
        <w:rPr>
          <w:rFonts w:hint="eastAsia" w:ascii="Times New Roman" w:hAnsi="Times New Roman" w:eastAsia="仿宋_GB2312"/>
          <w:color w:val="000000"/>
          <w:sz w:val="32"/>
          <w:szCs w:val="32"/>
        </w:rPr>
      </w:pPr>
    </w:p>
    <w:p>
      <w:pPr>
        <w:pStyle w:val="5"/>
        <w:widowControl/>
        <w:adjustRightInd w:val="0"/>
        <w:snapToGrid w:val="0"/>
        <w:spacing w:beforeAutospacing="0" w:afterAutospacing="0" w:line="560" w:lineRule="exact"/>
        <w:jc w:val="both"/>
        <w:rPr>
          <w:rFonts w:hint="eastAsia" w:ascii="Times New Roman" w:hAnsi="Times New Roman" w:eastAsia="仿宋_GB2312"/>
          <w:color w:val="000000"/>
          <w:sz w:val="32"/>
          <w:szCs w:val="32"/>
        </w:rPr>
      </w:pPr>
    </w:p>
    <w:p>
      <w:pPr>
        <w:pStyle w:val="5"/>
        <w:widowControl/>
        <w:adjustRightInd w:val="0"/>
        <w:snapToGrid w:val="0"/>
        <w:spacing w:beforeAutospacing="0" w:afterAutospacing="0" w:line="560" w:lineRule="exact"/>
        <w:jc w:val="both"/>
        <w:rPr>
          <w:rFonts w:hint="eastAsia" w:ascii="Times New Roman" w:hAnsi="Times New Roman" w:eastAsia="仿宋_GB2312"/>
          <w:color w:val="000000"/>
          <w:sz w:val="32"/>
          <w:szCs w:val="32"/>
        </w:rPr>
      </w:pPr>
    </w:p>
    <w:p>
      <w:pPr>
        <w:pStyle w:val="5"/>
        <w:widowControl/>
        <w:adjustRightInd w:val="0"/>
        <w:snapToGrid w:val="0"/>
        <w:spacing w:beforeAutospacing="0" w:afterAutospacing="0" w:line="560" w:lineRule="exact"/>
        <w:jc w:val="both"/>
        <w:rPr>
          <w:rFonts w:hint="eastAsia" w:ascii="Times New Roman" w:hAnsi="Times New Roman" w:eastAsia="仿宋_GB2312"/>
          <w:color w:val="000000"/>
          <w:sz w:val="32"/>
          <w:szCs w:val="32"/>
        </w:rPr>
      </w:pPr>
    </w:p>
    <w:p>
      <w:pPr>
        <w:pStyle w:val="5"/>
        <w:widowControl/>
        <w:adjustRightInd w:val="0"/>
        <w:snapToGrid w:val="0"/>
        <w:spacing w:beforeAutospacing="0" w:afterAutospacing="0" w:line="560" w:lineRule="exact"/>
        <w:jc w:val="both"/>
        <w:rPr>
          <w:rFonts w:hint="eastAsia" w:ascii="Times New Roman" w:hAnsi="Times New Roman" w:eastAsia="仿宋_GB2312"/>
          <w:color w:val="000000"/>
          <w:sz w:val="32"/>
          <w:szCs w:val="32"/>
        </w:rPr>
      </w:pPr>
    </w:p>
    <w:p>
      <w:pPr>
        <w:pStyle w:val="5"/>
        <w:widowControl/>
        <w:adjustRightInd w:val="0"/>
        <w:snapToGrid w:val="0"/>
        <w:spacing w:beforeAutospacing="0" w:afterAutospacing="0" w:line="560" w:lineRule="exact"/>
        <w:jc w:val="both"/>
        <w:rPr>
          <w:rFonts w:hint="eastAsia" w:ascii="Times New Roman" w:hAnsi="Times New Roman" w:eastAsia="仿宋_GB2312"/>
          <w:color w:val="000000"/>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二、主动公开政府信息情况</w:t>
      </w:r>
    </w:p>
    <w:tbl>
      <w:tblPr>
        <w:tblStyle w:val="7"/>
        <w:tblW w:w="8705" w:type="dxa"/>
        <w:jc w:val="center"/>
        <w:tblInd w:w="0" w:type="dxa"/>
        <w:tblLayout w:type="fixed"/>
        <w:tblCellMar>
          <w:top w:w="0" w:type="dxa"/>
          <w:left w:w="108" w:type="dxa"/>
          <w:bottom w:w="0" w:type="dxa"/>
          <w:right w:w="108" w:type="dxa"/>
        </w:tblCellMar>
      </w:tblPr>
      <w:tblGrid>
        <w:gridCol w:w="2752"/>
        <w:gridCol w:w="1984"/>
        <w:gridCol w:w="1985"/>
        <w:gridCol w:w="1984"/>
      </w:tblGrid>
      <w:tr>
        <w:tblPrEx>
          <w:tblLayout w:type="fixed"/>
          <w:tblCellMar>
            <w:top w:w="0" w:type="dxa"/>
            <w:left w:w="108" w:type="dxa"/>
            <w:bottom w:w="0" w:type="dxa"/>
            <w:right w:w="108" w:type="dxa"/>
          </w:tblCellMar>
        </w:tblPrEx>
        <w:trPr>
          <w:trHeight w:val="495"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b/>
                <w:color w:val="333333"/>
                <w:kern w:val="0"/>
                <w:sz w:val="24"/>
              </w:rPr>
            </w:pPr>
            <w:r>
              <w:rPr>
                <w:rFonts w:hint="eastAsia" w:ascii="宋体" w:hAnsi="宋体" w:eastAsia="宋体" w:cs="宋体"/>
                <w:b/>
                <w:color w:val="333333"/>
                <w:kern w:val="0"/>
                <w:sz w:val="24"/>
              </w:rPr>
              <w:t>第二十条第（一）项</w:t>
            </w:r>
          </w:p>
        </w:tc>
      </w:tr>
      <w:tr>
        <w:tblPrEx>
          <w:tblLayout w:type="fixed"/>
          <w:tblCellMar>
            <w:top w:w="0" w:type="dxa"/>
            <w:left w:w="108" w:type="dxa"/>
            <w:bottom w:w="0" w:type="dxa"/>
            <w:right w:w="108" w:type="dxa"/>
          </w:tblCellMar>
        </w:tblPrEx>
        <w:trPr>
          <w:trHeight w:val="88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本年新</w:t>
            </w:r>
            <w:r>
              <w:rPr>
                <w:rFonts w:ascii="宋体" w:hAnsi="宋体" w:eastAsia="宋体" w:cs="宋体"/>
                <w:color w:val="333333"/>
                <w:kern w:val="0"/>
                <w:sz w:val="24"/>
              </w:rPr>
              <w:t>制作数量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本年新</w:t>
            </w:r>
            <w:r>
              <w:rPr>
                <w:rFonts w:ascii="宋体" w:hAnsi="宋体" w:eastAsia="宋体" w:cs="宋体"/>
                <w:color w:val="333333"/>
                <w:kern w:val="0"/>
                <w:sz w:val="24"/>
              </w:rPr>
              <w:t>公开数量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对外公开总数量</w:t>
            </w:r>
          </w:p>
        </w:tc>
      </w:tr>
      <w:tr>
        <w:tblPrEx>
          <w:tblLayout w:type="fixed"/>
          <w:tblCellMar>
            <w:top w:w="0" w:type="dxa"/>
            <w:left w:w="108" w:type="dxa"/>
            <w:bottom w:w="0" w:type="dxa"/>
            <w:right w:w="108" w:type="dxa"/>
          </w:tblCellMar>
        </w:tblPrEx>
        <w:trPr>
          <w:trHeight w:val="69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rPr>
            </w:pPr>
            <w:r>
              <w:rPr>
                <w:rFonts w:hint="eastAsia" w:ascii="宋体" w:hAnsi="宋体" w:eastAsia="宋体" w:cs="宋体"/>
                <w:color w:val="000000"/>
                <w:kern w:val="0"/>
                <w:sz w:val="24"/>
              </w:rPr>
              <w:t>规章</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0</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rPr>
            </w:pPr>
            <w:r>
              <w:rPr>
                <w:rFonts w:hint="eastAsia" w:ascii="宋体" w:hAnsi="Calibri" w:eastAsia="宋体" w:cs="Times New Roman"/>
                <w:color w:val="000000"/>
                <w:kern w:val="0"/>
                <w:sz w:val="24"/>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0</w:t>
            </w:r>
          </w:p>
        </w:tc>
      </w:tr>
      <w:tr>
        <w:tblPrEx>
          <w:tblLayout w:type="fixed"/>
          <w:tblCellMar>
            <w:top w:w="0" w:type="dxa"/>
            <w:left w:w="108" w:type="dxa"/>
            <w:bottom w:w="0" w:type="dxa"/>
            <w:right w:w="108" w:type="dxa"/>
          </w:tblCellMar>
        </w:tblPrEx>
        <w:trPr>
          <w:trHeight w:val="57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rPr>
            </w:pPr>
            <w:r>
              <w:rPr>
                <w:rFonts w:hint="eastAsia" w:ascii="宋体" w:hAnsi="宋体" w:eastAsia="宋体" w:cs="宋体"/>
                <w:color w:val="000000"/>
                <w:kern w:val="0"/>
                <w:sz w:val="24"/>
              </w:rPr>
              <w:t>规范性文件</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0</w:t>
            </w:r>
          </w:p>
        </w:tc>
        <w:tc>
          <w:tcPr>
            <w:tcW w:w="1985"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rPr>
            </w:pPr>
            <w:r>
              <w:rPr>
                <w:rFonts w:hint="eastAsia" w:ascii="宋体" w:hAnsi="Calibri" w:eastAsia="宋体" w:cs="Times New Roman"/>
                <w:color w:val="000000"/>
                <w:kern w:val="0"/>
                <w:sz w:val="24"/>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0</w:t>
            </w:r>
          </w:p>
        </w:tc>
      </w:tr>
      <w:tr>
        <w:tblPrEx>
          <w:tblLayout w:type="fixed"/>
          <w:tblCellMar>
            <w:top w:w="0" w:type="dxa"/>
            <w:left w:w="108" w:type="dxa"/>
            <w:bottom w:w="0" w:type="dxa"/>
            <w:right w:w="108" w:type="dxa"/>
          </w:tblCellMar>
        </w:tblPrEx>
        <w:trPr>
          <w:trHeight w:val="480"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b/>
                <w:color w:val="333333"/>
                <w:kern w:val="0"/>
                <w:sz w:val="24"/>
              </w:rPr>
              <w:t>第二十条第（五）项</w:t>
            </w:r>
          </w:p>
        </w:tc>
      </w:tr>
      <w:tr>
        <w:tblPrEx>
          <w:tblLayout w:type="fixed"/>
          <w:tblCellMar>
            <w:top w:w="0" w:type="dxa"/>
            <w:left w:w="108" w:type="dxa"/>
            <w:bottom w:w="0" w:type="dxa"/>
            <w:right w:w="108" w:type="dxa"/>
          </w:tblCellMar>
        </w:tblPrEx>
        <w:trPr>
          <w:trHeight w:val="63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上一年项目数量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本年增/减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处理决定数量</w:t>
            </w:r>
          </w:p>
        </w:tc>
      </w:tr>
      <w:tr>
        <w:tblPrEx>
          <w:tblLayout w:type="fixed"/>
          <w:tblCellMar>
            <w:top w:w="0" w:type="dxa"/>
            <w:left w:w="108" w:type="dxa"/>
            <w:bottom w:w="0" w:type="dxa"/>
            <w:right w:w="108" w:type="dxa"/>
          </w:tblCellMar>
        </w:tblPrEx>
        <w:trPr>
          <w:trHeight w:val="670"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rPr>
            </w:pPr>
            <w:r>
              <w:rPr>
                <w:rFonts w:hint="eastAsia" w:ascii="宋体" w:hAnsi="宋体" w:eastAsia="宋体" w:cs="宋体"/>
                <w:color w:val="000000"/>
                <w:kern w:val="0"/>
                <w:sz w:val="24"/>
              </w:rPr>
              <w:t>行政许可</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333333"/>
                <w:kern w:val="0"/>
                <w:sz w:val="24"/>
              </w:rPr>
              <w:t>0</w:t>
            </w:r>
          </w:p>
        </w:tc>
        <w:tc>
          <w:tcPr>
            <w:tcW w:w="1985"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333333"/>
                <w:kern w:val="0"/>
                <w:sz w:val="24"/>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333333"/>
                <w:kern w:val="0"/>
                <w:sz w:val="24"/>
              </w:rPr>
              <w:t>0</w:t>
            </w:r>
          </w:p>
        </w:tc>
      </w:tr>
      <w:tr>
        <w:tblPrEx>
          <w:tblLayout w:type="fixed"/>
          <w:tblCellMar>
            <w:top w:w="0" w:type="dxa"/>
            <w:left w:w="108" w:type="dxa"/>
            <w:bottom w:w="0" w:type="dxa"/>
            <w:right w:w="108" w:type="dxa"/>
          </w:tblCellMar>
        </w:tblPrEx>
        <w:trPr>
          <w:trHeight w:val="69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rPr>
            </w:pPr>
            <w:r>
              <w:rPr>
                <w:rFonts w:hint="eastAsia" w:ascii="宋体" w:hAnsi="宋体" w:eastAsia="宋体" w:cs="宋体"/>
                <w:color w:val="000000"/>
                <w:kern w:val="0"/>
                <w:sz w:val="24"/>
              </w:rPr>
              <w:t>其他对外管理服务事项</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333333"/>
                <w:kern w:val="0"/>
                <w:sz w:val="24"/>
              </w:rPr>
              <w:t>10</w:t>
            </w:r>
          </w:p>
        </w:tc>
        <w:tc>
          <w:tcPr>
            <w:tcW w:w="1985" w:type="dxa"/>
            <w:tcBorders>
              <w:top w:val="nil"/>
              <w:left w:val="nil"/>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+1</w:t>
            </w:r>
            <w:bookmarkStart w:id="0" w:name="_GoBack"/>
            <w:bookmarkEnd w:id="0"/>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333333"/>
                <w:kern w:val="0"/>
                <w:sz w:val="24"/>
              </w:rPr>
              <w:t>9</w:t>
            </w:r>
          </w:p>
        </w:tc>
      </w:tr>
      <w:tr>
        <w:tblPrEx>
          <w:tblLayout w:type="fixed"/>
          <w:tblCellMar>
            <w:top w:w="0" w:type="dxa"/>
            <w:left w:w="108" w:type="dxa"/>
            <w:bottom w:w="0" w:type="dxa"/>
            <w:right w:w="108" w:type="dxa"/>
          </w:tblCellMar>
        </w:tblPrEx>
        <w:trPr>
          <w:trHeight w:val="406"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b/>
                <w:color w:val="333333"/>
                <w:kern w:val="0"/>
                <w:sz w:val="24"/>
              </w:rPr>
              <w:t>第二十条第（六）项</w:t>
            </w:r>
          </w:p>
        </w:tc>
      </w:tr>
      <w:tr>
        <w:tblPrEx>
          <w:tblLayout w:type="fixed"/>
          <w:tblCellMar>
            <w:top w:w="0" w:type="dxa"/>
            <w:left w:w="108" w:type="dxa"/>
            <w:bottom w:w="0" w:type="dxa"/>
            <w:right w:w="108" w:type="dxa"/>
          </w:tblCellMar>
        </w:tblPrEx>
        <w:trPr>
          <w:trHeight w:val="63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上一年项目数量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本年增/减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处理决定数量</w:t>
            </w:r>
          </w:p>
        </w:tc>
      </w:tr>
      <w:tr>
        <w:tblPrEx>
          <w:tblLayout w:type="fixed"/>
          <w:tblCellMar>
            <w:top w:w="0" w:type="dxa"/>
            <w:left w:w="108" w:type="dxa"/>
            <w:bottom w:w="0" w:type="dxa"/>
            <w:right w:w="108" w:type="dxa"/>
          </w:tblCellMar>
        </w:tblPrEx>
        <w:trPr>
          <w:trHeight w:val="56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rPr>
            </w:pPr>
            <w:r>
              <w:rPr>
                <w:rFonts w:hint="eastAsia" w:ascii="宋体" w:hAnsi="宋体" w:eastAsia="宋体" w:cs="宋体"/>
                <w:color w:val="000000"/>
                <w:kern w:val="0"/>
                <w:sz w:val="24"/>
              </w:rPr>
              <w:t>行政处罚</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333333"/>
                <w:kern w:val="0"/>
                <w:sz w:val="24"/>
              </w:rPr>
              <w:t>0</w:t>
            </w:r>
          </w:p>
        </w:tc>
        <w:tc>
          <w:tcPr>
            <w:tcW w:w="1985"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333333"/>
                <w:kern w:val="0"/>
                <w:sz w:val="24"/>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333333"/>
                <w:kern w:val="0"/>
                <w:sz w:val="24"/>
              </w:rPr>
              <w:t>0</w:t>
            </w:r>
          </w:p>
        </w:tc>
      </w:tr>
      <w:tr>
        <w:tblPrEx>
          <w:tblLayout w:type="fixed"/>
          <w:tblCellMar>
            <w:top w:w="0" w:type="dxa"/>
            <w:left w:w="108" w:type="dxa"/>
            <w:bottom w:w="0" w:type="dxa"/>
            <w:right w:w="108" w:type="dxa"/>
          </w:tblCellMar>
        </w:tblPrEx>
        <w:trPr>
          <w:trHeight w:val="57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rPr>
            </w:pPr>
            <w:r>
              <w:rPr>
                <w:rFonts w:hint="eastAsia" w:ascii="宋体" w:hAnsi="宋体" w:eastAsia="宋体" w:cs="宋体"/>
                <w:color w:val="000000"/>
                <w:kern w:val="0"/>
                <w:sz w:val="24"/>
              </w:rPr>
              <w:t>行政强制</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333333"/>
                <w:kern w:val="0"/>
                <w:sz w:val="24"/>
              </w:rPr>
              <w:t>0</w:t>
            </w:r>
          </w:p>
        </w:tc>
        <w:tc>
          <w:tcPr>
            <w:tcW w:w="1985"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333333"/>
                <w:kern w:val="0"/>
                <w:sz w:val="24"/>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333333"/>
                <w:kern w:val="0"/>
                <w:sz w:val="24"/>
              </w:rPr>
              <w:t>0</w:t>
            </w:r>
          </w:p>
        </w:tc>
      </w:tr>
      <w:tr>
        <w:tblPrEx>
          <w:tblLayout w:type="fixed"/>
          <w:tblCellMar>
            <w:top w:w="0" w:type="dxa"/>
            <w:left w:w="108" w:type="dxa"/>
            <w:bottom w:w="0" w:type="dxa"/>
            <w:right w:w="108" w:type="dxa"/>
          </w:tblCellMar>
        </w:tblPrEx>
        <w:trPr>
          <w:trHeight w:val="474"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b/>
                <w:color w:val="333333"/>
                <w:kern w:val="0"/>
                <w:sz w:val="24"/>
              </w:rPr>
              <w:t>第二十条第（八）项</w:t>
            </w:r>
          </w:p>
        </w:tc>
      </w:tr>
      <w:tr>
        <w:tblPrEx>
          <w:tblLayout w:type="fixed"/>
          <w:tblCellMar>
            <w:top w:w="0" w:type="dxa"/>
            <w:left w:w="108" w:type="dxa"/>
            <w:bottom w:w="0" w:type="dxa"/>
            <w:right w:w="108" w:type="dxa"/>
          </w:tblCellMar>
        </w:tblPrEx>
        <w:trPr>
          <w:trHeight w:val="270"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信息内容</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rPr>
            </w:pPr>
            <w:r>
              <w:rPr>
                <w:rFonts w:hint="eastAsia" w:ascii="宋体" w:hAnsi="宋体" w:eastAsia="宋体" w:cs="宋体"/>
                <w:color w:val="000000"/>
                <w:kern w:val="0"/>
                <w:sz w:val="24"/>
              </w:rPr>
              <w:t>上一年项目数量</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本年增/减</w:t>
            </w:r>
          </w:p>
        </w:tc>
      </w:tr>
      <w:tr>
        <w:tblPrEx>
          <w:tblLayout w:type="fixed"/>
          <w:tblCellMar>
            <w:top w:w="0" w:type="dxa"/>
            <w:left w:w="108" w:type="dxa"/>
            <w:bottom w:w="0" w:type="dxa"/>
            <w:right w:w="108" w:type="dxa"/>
          </w:tblCellMar>
        </w:tblPrEx>
        <w:trPr>
          <w:trHeight w:val="72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rPr>
            </w:pPr>
            <w:r>
              <w:rPr>
                <w:rFonts w:hint="eastAsia" w:ascii="宋体" w:hAnsi="宋体" w:eastAsia="宋体" w:cs="宋体"/>
                <w:color w:val="000000"/>
                <w:kern w:val="0"/>
                <w:sz w:val="24"/>
              </w:rPr>
              <w:t>行政事业性收费</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0</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Calibri" w:eastAsia="宋体" w:cs="Times New Roman"/>
                <w:color w:val="000000"/>
                <w:kern w:val="0"/>
                <w:sz w:val="24"/>
              </w:rPr>
              <w:t>0</w:t>
            </w:r>
          </w:p>
        </w:tc>
      </w:tr>
      <w:tr>
        <w:tblPrEx>
          <w:tblLayout w:type="fixed"/>
          <w:tblCellMar>
            <w:top w:w="0" w:type="dxa"/>
            <w:left w:w="108" w:type="dxa"/>
            <w:bottom w:w="0" w:type="dxa"/>
            <w:right w:w="108" w:type="dxa"/>
          </w:tblCellMar>
        </w:tblPrEx>
        <w:trPr>
          <w:trHeight w:val="476"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b/>
                <w:color w:val="333333"/>
                <w:kern w:val="0"/>
                <w:sz w:val="24"/>
              </w:rPr>
              <w:t>第二十条第（九）项</w:t>
            </w:r>
          </w:p>
        </w:tc>
      </w:tr>
      <w:tr>
        <w:tblPrEx>
          <w:tblLayout w:type="fixed"/>
          <w:tblCellMar>
            <w:top w:w="0" w:type="dxa"/>
            <w:left w:w="108" w:type="dxa"/>
            <w:bottom w:w="0" w:type="dxa"/>
            <w:right w:w="108" w:type="dxa"/>
          </w:tblCellMar>
        </w:tblPrEx>
        <w:trPr>
          <w:trHeight w:val="585"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信息内容</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采购项目数量</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333333"/>
                <w:kern w:val="0"/>
                <w:sz w:val="24"/>
              </w:rPr>
            </w:pPr>
            <w:r>
              <w:rPr>
                <w:rFonts w:hint="eastAsia" w:ascii="宋体" w:hAnsi="宋体" w:eastAsia="宋体" w:cs="宋体"/>
                <w:color w:val="000000"/>
                <w:kern w:val="0"/>
                <w:sz w:val="24"/>
              </w:rPr>
              <w:t>采购总金额</w:t>
            </w:r>
          </w:p>
        </w:tc>
      </w:tr>
      <w:tr>
        <w:tblPrEx>
          <w:tblLayout w:type="fixed"/>
          <w:tblCellMar>
            <w:top w:w="0" w:type="dxa"/>
            <w:left w:w="108" w:type="dxa"/>
            <w:bottom w:w="0" w:type="dxa"/>
            <w:right w:w="108" w:type="dxa"/>
          </w:tblCellMar>
        </w:tblPrEx>
        <w:trPr>
          <w:trHeight w:val="748"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rPr>
            </w:pPr>
            <w:r>
              <w:rPr>
                <w:rFonts w:hint="eastAsia" w:ascii="宋体" w:hAnsi="宋体" w:eastAsia="宋体" w:cs="宋体"/>
                <w:color w:val="000000"/>
                <w:kern w:val="0"/>
                <w:sz w:val="24"/>
              </w:rPr>
              <w:t>政府集中采购</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000000"/>
                <w:kern w:val="0"/>
                <w:sz w:val="24"/>
              </w:rPr>
            </w:pPr>
            <w:r>
              <w:rPr>
                <w:rFonts w:ascii="宋体" w:hAnsi="宋体" w:eastAsia="宋体" w:cs="宋体"/>
                <w:color w:val="000000"/>
                <w:kern w:val="0"/>
                <w:sz w:val="24"/>
              </w:rPr>
              <w:t>16</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000000"/>
                <w:kern w:val="0"/>
                <w:sz w:val="24"/>
              </w:rPr>
            </w:pPr>
            <w:r>
              <w:rPr>
                <w:rFonts w:ascii="宋体" w:hAnsi="宋体" w:eastAsia="宋体" w:cs="宋体"/>
                <w:color w:val="000000"/>
                <w:kern w:val="0"/>
                <w:sz w:val="24"/>
              </w:rPr>
              <w:t>998.435698万元</w:t>
            </w:r>
          </w:p>
        </w:tc>
      </w:tr>
    </w:tbl>
    <w:p>
      <w:pPr>
        <w:widowControl/>
        <w:spacing w:line="360" w:lineRule="auto"/>
        <w:jc w:val="center"/>
        <w:rPr>
          <w:rFonts w:hint="eastAsia" w:ascii="Times New Roman" w:hAnsi="Times New Roman" w:eastAsia="黑体"/>
          <w:color w:val="000000"/>
          <w:sz w:val="32"/>
          <w:szCs w:val="32"/>
        </w:rPr>
      </w:pPr>
    </w:p>
    <w:p>
      <w:pPr>
        <w:pStyle w:val="5"/>
        <w:widowControl/>
        <w:spacing w:before="75" w:beforeAutospacing="0" w:after="75" w:afterAutospacing="0" w:line="580" w:lineRule="exact"/>
        <w:ind w:firstLine="640" w:firstLineChars="200"/>
        <w:rPr>
          <w:rFonts w:hint="eastAsia" w:ascii="Times New Roman" w:hAnsi="Times New Roman" w:eastAsia="黑体"/>
          <w:color w:val="000000"/>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三、收到和处理政府信息公开申请情况</w:t>
      </w:r>
    </w:p>
    <w:tbl>
      <w:tblPr>
        <w:tblStyle w:val="7"/>
        <w:tblW w:w="99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993"/>
        <w:gridCol w:w="2417"/>
        <w:gridCol w:w="985"/>
        <w:gridCol w:w="1007"/>
        <w:gridCol w:w="765"/>
        <w:gridCol w:w="825"/>
        <w:gridCol w:w="990"/>
        <w:gridCol w:w="720"/>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7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（本列数据的勾稽关系为：第一项加第二项之和，等于第三项加第四项之和）</w:t>
            </w:r>
          </w:p>
        </w:tc>
        <w:tc>
          <w:tcPr>
            <w:tcW w:w="5994"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7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985" w:type="dxa"/>
            <w:vMerge w:val="restart"/>
            <w:tcBorders>
              <w:top w:val="nil"/>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自然人</w:t>
            </w:r>
          </w:p>
        </w:tc>
        <w:tc>
          <w:tcPr>
            <w:tcW w:w="4307"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法人或其他组织</w:t>
            </w:r>
          </w:p>
        </w:tc>
        <w:tc>
          <w:tcPr>
            <w:tcW w:w="702"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7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Calibri" w:hAnsi="Calibri" w:eastAsia="宋体" w:cs="Times New Roman"/>
                <w:color w:val="333333"/>
                <w:szCs w:val="21"/>
              </w:rPr>
            </w:pPr>
            <w:r>
              <w:rPr>
                <w:rFonts w:hint="eastAsia" w:ascii="Calibri" w:hAnsi="Calibri" w:eastAsia="宋体" w:cs="Times New Roman"/>
                <w:color w:val="333333"/>
                <w:szCs w:val="21"/>
              </w:rPr>
              <w:t>商业</w:t>
            </w:r>
          </w:p>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企业</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科研机构</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社会公益组织</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法律服务机构</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其他</w:t>
            </w:r>
          </w:p>
        </w:tc>
        <w:tc>
          <w:tcPr>
            <w:tcW w:w="702"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3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Calibri" w:hAnsi="Calibri" w:eastAsia="宋体" w:cs="Times New Roman"/>
                <w:color w:val="333333"/>
                <w:szCs w:val="21"/>
              </w:rPr>
              <w:t>一、本年新收政府信息公开申请数量</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3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Calibri" w:hAnsi="Calibri" w:eastAsia="宋体" w:cs="Times New Roman"/>
                <w:color w:val="333333"/>
                <w:szCs w:val="21"/>
              </w:rPr>
              <w:t>二、上年结转政府信息公开申请数量</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5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三、本年度办理结果</w:t>
            </w:r>
          </w:p>
        </w:tc>
        <w:tc>
          <w:tcPr>
            <w:tcW w:w="341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（一）予以公开</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341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（二）部分公开（区分处理的，只计这一情形，不计其他情形）</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993"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（三）不予公开</w:t>
            </w:r>
          </w:p>
        </w:tc>
        <w:tc>
          <w:tcPr>
            <w:tcW w:w="241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1.属于国家秘密</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41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2.其他法律行政法规禁止公开</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41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3.危及“三安全一稳定”</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41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4.保护第三方合法权益</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41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5.属于三类内部事务信息</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41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6.属于四类过程性信息</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41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7.属于行政执法案卷</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41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8.属于行政查询事项</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993"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（四）无法提供</w:t>
            </w:r>
          </w:p>
        </w:tc>
        <w:tc>
          <w:tcPr>
            <w:tcW w:w="241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1.本机关不掌握相关政府信息</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41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2.没有现成信息需要另行制作</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41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3.补正后申请内容仍不明确</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993"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（五）不予处理</w:t>
            </w:r>
          </w:p>
        </w:tc>
        <w:tc>
          <w:tcPr>
            <w:tcW w:w="241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1.信访举报投诉类申请</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41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2.重复申请</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41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3.要求提供公开出版物</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41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4.无正当理由大量反复申请</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993"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41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5.要求行政机关确认或重新出具已获取信息</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341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（六）其他处理</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341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（七）总计</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7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Calibri" w:hAnsi="Calibri" w:eastAsia="宋体" w:cs="Times New Roman"/>
                <w:color w:val="333333"/>
                <w:szCs w:val="21"/>
              </w:rPr>
              <w:t>四、结转下年度继续办理</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宋体" w:hAnsi="宋体" w:eastAsia="宋体" w:cs="宋体"/>
                <w:color w:val="333333"/>
                <w:kern w:val="0"/>
                <w:szCs w:val="21"/>
              </w:rPr>
              <w:t>0</w:t>
            </w:r>
          </w:p>
        </w:tc>
      </w:tr>
    </w:tbl>
    <w:p>
      <w:pPr>
        <w:spacing w:line="560" w:lineRule="exact"/>
        <w:ind w:firstLine="640" w:firstLineChars="200"/>
        <w:rPr>
          <w:rFonts w:ascii="黑体" w:hAnsi="黑体" w:eastAsia="黑体"/>
          <w:sz w:val="32"/>
          <w:szCs w:val="32"/>
        </w:rPr>
      </w:pPr>
      <w:r>
        <w:rPr>
          <w:rFonts w:hint="eastAsia" w:ascii="黑体" w:hAnsi="黑体" w:eastAsia="黑体"/>
          <w:sz w:val="32"/>
          <w:szCs w:val="32"/>
        </w:rPr>
        <w:t>四、政府信息公开行政复议、行政诉讼情况</w:t>
      </w:r>
    </w:p>
    <w:tbl>
      <w:tblPr>
        <w:tblStyle w:val="7"/>
        <w:tblW w:w="100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707"/>
        <w:gridCol w:w="707"/>
        <w:gridCol w:w="707"/>
        <w:gridCol w:w="566"/>
        <w:gridCol w:w="707"/>
        <w:gridCol w:w="706"/>
        <w:gridCol w:w="755"/>
        <w:gridCol w:w="659"/>
        <w:gridCol w:w="548"/>
        <w:gridCol w:w="725"/>
        <w:gridCol w:w="699"/>
        <w:gridCol w:w="714"/>
        <w:gridCol w:w="708"/>
        <w:gridCol w:w="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418"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rPr>
            </w:pPr>
            <w:r>
              <w:rPr>
                <w:rFonts w:hint="eastAsia" w:ascii="Calibri" w:hAnsi="Calibri" w:eastAsia="宋体" w:cs="Times New Roman"/>
                <w:color w:val="333333"/>
                <w:sz w:val="20"/>
                <w:szCs w:val="20"/>
              </w:rPr>
              <w:t>行政复议</w:t>
            </w:r>
          </w:p>
        </w:tc>
        <w:tc>
          <w:tcPr>
            <w:tcW w:w="6638" w:type="dxa"/>
            <w:gridSpan w:val="10"/>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rPr>
            </w:pPr>
            <w:r>
              <w:rPr>
                <w:rFonts w:hint="eastAsia" w:ascii="Calibri" w:hAnsi="Calibri" w:eastAsia="宋体" w:cs="Times New Roman"/>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731" w:type="dxa"/>
            <w:vMerge w:val="restart"/>
            <w:tcBorders>
              <w:top w:val="nil"/>
              <w:left w:val="single" w:color="auto" w:sz="4" w:space="0"/>
              <w:bottom w:val="single" w:color="auto" w:sz="4" w:space="0"/>
              <w:right w:val="single" w:color="auto" w:sz="4" w:space="0"/>
            </w:tcBorders>
            <w:vAlign w:val="center"/>
          </w:tcPr>
          <w:p>
            <w:pPr>
              <w:widowControl/>
              <w:jc w:val="center"/>
              <w:rPr>
                <w:rFonts w:ascii="Calibri" w:hAnsi="Calibri" w:eastAsia="宋体" w:cs="Times New Roman"/>
                <w:color w:val="333333"/>
                <w:sz w:val="20"/>
                <w:szCs w:val="20"/>
              </w:rPr>
            </w:pPr>
            <w:r>
              <w:rPr>
                <w:rFonts w:hint="eastAsia" w:ascii="Calibri" w:hAnsi="Calibri" w:eastAsia="宋体" w:cs="Times New Roman"/>
                <w:color w:val="333333"/>
                <w:sz w:val="20"/>
                <w:szCs w:val="20"/>
              </w:rPr>
              <w:t>结果</w:t>
            </w:r>
          </w:p>
          <w:p>
            <w:pPr>
              <w:widowControl/>
              <w:jc w:val="center"/>
              <w:rPr>
                <w:rFonts w:ascii="宋体" w:hAnsi="宋体" w:eastAsia="宋体" w:cs="宋体"/>
                <w:color w:val="333333"/>
                <w:kern w:val="0"/>
                <w:sz w:val="24"/>
              </w:rPr>
            </w:pPr>
            <w:r>
              <w:rPr>
                <w:rFonts w:hint="eastAsia" w:ascii="Calibri" w:hAnsi="Calibri" w:eastAsia="宋体" w:cs="Times New Roman"/>
                <w:color w:val="333333"/>
                <w:sz w:val="20"/>
                <w:szCs w:val="20"/>
              </w:rPr>
              <w:t>维持</w:t>
            </w:r>
          </w:p>
        </w:tc>
        <w:tc>
          <w:tcPr>
            <w:tcW w:w="707" w:type="dxa"/>
            <w:vMerge w:val="restart"/>
            <w:tcBorders>
              <w:top w:val="nil"/>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rPr>
            </w:pPr>
            <w:r>
              <w:rPr>
                <w:rFonts w:hint="eastAsia" w:ascii="Calibri" w:hAnsi="Calibri" w:eastAsia="宋体" w:cs="Times New Roman"/>
                <w:color w:val="333333"/>
                <w:sz w:val="20"/>
                <w:szCs w:val="20"/>
              </w:rPr>
              <w:t>结果纠正</w:t>
            </w:r>
          </w:p>
        </w:tc>
        <w:tc>
          <w:tcPr>
            <w:tcW w:w="707"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rPr>
            </w:pPr>
            <w:r>
              <w:rPr>
                <w:rFonts w:hint="eastAsia" w:ascii="Calibri" w:hAnsi="Calibri" w:eastAsia="宋体" w:cs="Times New Roman"/>
                <w:color w:val="333333"/>
                <w:sz w:val="20"/>
                <w:szCs w:val="20"/>
              </w:rPr>
              <w:t>其他结果</w:t>
            </w:r>
          </w:p>
        </w:tc>
        <w:tc>
          <w:tcPr>
            <w:tcW w:w="707"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rPr>
            </w:pPr>
            <w:r>
              <w:rPr>
                <w:rFonts w:hint="eastAsia" w:ascii="Calibri" w:hAnsi="Calibri" w:eastAsia="宋体" w:cs="Times New Roman"/>
                <w:color w:val="333333"/>
                <w:sz w:val="20"/>
                <w:szCs w:val="20"/>
              </w:rPr>
              <w:t>尚未审结</w:t>
            </w:r>
          </w:p>
        </w:tc>
        <w:tc>
          <w:tcPr>
            <w:tcW w:w="566"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rPr>
            </w:pPr>
            <w:r>
              <w:rPr>
                <w:rFonts w:hint="eastAsia" w:ascii="Calibri" w:hAnsi="Calibri" w:eastAsia="宋体" w:cs="Times New Roman"/>
                <w:color w:val="333333"/>
                <w:sz w:val="20"/>
                <w:szCs w:val="20"/>
              </w:rPr>
              <w:t>总计</w:t>
            </w:r>
          </w:p>
        </w:tc>
        <w:tc>
          <w:tcPr>
            <w:tcW w:w="3375"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rPr>
            </w:pPr>
            <w:r>
              <w:rPr>
                <w:rFonts w:hint="eastAsia" w:ascii="Calibri" w:hAnsi="Calibri" w:eastAsia="宋体" w:cs="Times New Roman"/>
                <w:color w:val="333333"/>
                <w:sz w:val="20"/>
                <w:szCs w:val="20"/>
              </w:rPr>
              <w:t>未经复议直接起诉</w:t>
            </w:r>
          </w:p>
        </w:tc>
        <w:tc>
          <w:tcPr>
            <w:tcW w:w="3263"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rPr>
            </w:pPr>
            <w:r>
              <w:rPr>
                <w:rFonts w:hint="eastAsia" w:ascii="Calibri" w:hAnsi="Calibri" w:eastAsia="宋体" w:cs="Times New Roman"/>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1" w:hRule="atLeast"/>
          <w:jc w:val="center"/>
        </w:trPr>
        <w:tc>
          <w:tcPr>
            <w:tcW w:w="73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 w:val="24"/>
              </w:rPr>
            </w:pPr>
          </w:p>
        </w:tc>
        <w:tc>
          <w:tcPr>
            <w:tcW w:w="707"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 w:val="24"/>
              </w:rPr>
            </w:pPr>
          </w:p>
        </w:tc>
        <w:tc>
          <w:tcPr>
            <w:tcW w:w="70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 w:val="24"/>
              </w:rPr>
            </w:pPr>
          </w:p>
        </w:tc>
        <w:tc>
          <w:tcPr>
            <w:tcW w:w="70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 w:val="24"/>
              </w:rPr>
            </w:pPr>
          </w:p>
        </w:tc>
        <w:tc>
          <w:tcPr>
            <w:tcW w:w="56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 w:val="24"/>
              </w:rPr>
            </w:pPr>
          </w:p>
        </w:tc>
        <w:tc>
          <w:tcPr>
            <w:tcW w:w="7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rPr>
            </w:pPr>
            <w:r>
              <w:rPr>
                <w:rFonts w:hint="eastAsia" w:ascii="Calibri" w:hAnsi="Calibri" w:eastAsia="宋体" w:cs="Times New Roman"/>
                <w:color w:val="333333"/>
                <w:sz w:val="20"/>
                <w:szCs w:val="20"/>
              </w:rPr>
              <w:t>结果维持</w:t>
            </w:r>
          </w:p>
        </w:tc>
        <w:tc>
          <w:tcPr>
            <w:tcW w:w="70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rPr>
            </w:pPr>
            <w:r>
              <w:rPr>
                <w:rFonts w:hint="eastAsia" w:ascii="Calibri" w:hAnsi="Calibri" w:eastAsia="宋体" w:cs="Times New Roman"/>
                <w:color w:val="333333"/>
                <w:sz w:val="20"/>
                <w:szCs w:val="20"/>
              </w:rPr>
              <w:t>结果纠正</w:t>
            </w:r>
          </w:p>
        </w:tc>
        <w:tc>
          <w:tcPr>
            <w:tcW w:w="7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rPr>
            </w:pPr>
            <w:r>
              <w:rPr>
                <w:rFonts w:hint="eastAsia" w:ascii="Calibri" w:hAnsi="Calibri" w:eastAsia="宋体" w:cs="Times New Roman"/>
                <w:color w:val="333333"/>
                <w:sz w:val="20"/>
                <w:szCs w:val="20"/>
              </w:rPr>
              <w:t>其他结果</w:t>
            </w:r>
          </w:p>
        </w:tc>
        <w:tc>
          <w:tcPr>
            <w:tcW w:w="65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rPr>
            </w:pPr>
            <w:r>
              <w:rPr>
                <w:rFonts w:hint="eastAsia" w:ascii="Calibri" w:hAnsi="Calibri" w:eastAsia="宋体" w:cs="Times New Roman"/>
                <w:color w:val="333333"/>
                <w:sz w:val="20"/>
                <w:szCs w:val="20"/>
              </w:rPr>
              <w:t>尚未审结</w:t>
            </w:r>
          </w:p>
        </w:tc>
        <w:tc>
          <w:tcPr>
            <w:tcW w:w="54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rPr>
            </w:pPr>
            <w:r>
              <w:rPr>
                <w:rFonts w:hint="eastAsia" w:ascii="宋体" w:hAnsi="宋体" w:eastAsia="宋体" w:cs="宋体"/>
                <w:color w:val="000000"/>
                <w:kern w:val="0"/>
                <w:sz w:val="20"/>
                <w:szCs w:val="20"/>
              </w:rPr>
              <w:t>总计</w:t>
            </w:r>
          </w:p>
        </w:tc>
        <w:tc>
          <w:tcPr>
            <w:tcW w:w="7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rPr>
            </w:pPr>
            <w:r>
              <w:rPr>
                <w:rFonts w:hint="eastAsia" w:ascii="Calibri" w:hAnsi="Calibri" w:eastAsia="宋体" w:cs="Times New Roman"/>
                <w:color w:val="333333"/>
                <w:sz w:val="20"/>
                <w:szCs w:val="20"/>
              </w:rPr>
              <w:t>结果维持</w:t>
            </w:r>
          </w:p>
        </w:tc>
        <w:tc>
          <w:tcPr>
            <w:tcW w:w="69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rPr>
            </w:pPr>
            <w:r>
              <w:rPr>
                <w:rFonts w:hint="eastAsia" w:ascii="Calibri" w:hAnsi="Calibri" w:eastAsia="宋体" w:cs="Times New Roman"/>
                <w:color w:val="333333"/>
                <w:sz w:val="20"/>
                <w:szCs w:val="20"/>
              </w:rPr>
              <w:t>结果纠正</w:t>
            </w:r>
          </w:p>
        </w:tc>
        <w:tc>
          <w:tcPr>
            <w:tcW w:w="71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rPr>
            </w:pPr>
            <w:r>
              <w:rPr>
                <w:rFonts w:hint="eastAsia" w:ascii="宋体" w:hAnsi="宋体" w:eastAsia="宋体" w:cs="宋体"/>
                <w:color w:val="000000"/>
                <w:kern w:val="0"/>
                <w:sz w:val="20"/>
                <w:szCs w:val="20"/>
              </w:rPr>
              <w:t>其他结果</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rPr>
            </w:pPr>
            <w:r>
              <w:rPr>
                <w:rFonts w:hint="eastAsia" w:ascii="Calibri" w:hAnsi="Calibri" w:eastAsia="宋体" w:cs="Times New Roman"/>
                <w:color w:val="333333"/>
                <w:sz w:val="20"/>
                <w:szCs w:val="20"/>
              </w:rPr>
              <w:t>尚未审结</w:t>
            </w:r>
          </w:p>
        </w:tc>
        <w:tc>
          <w:tcPr>
            <w:tcW w:w="41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rPr>
            </w:pPr>
            <w:r>
              <w:rPr>
                <w:rFonts w:hint="eastAsia" w:ascii="宋体" w:hAnsi="宋体" w:eastAsia="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rPr>
            </w:pPr>
            <w:r>
              <w:rPr>
                <w:rFonts w:hint="eastAsia" w:ascii="Calibri" w:hAnsi="Calibri" w:eastAsia="宋体" w:cs="Times New Roman"/>
                <w:color w:val="333333"/>
                <w:sz w:val="24"/>
              </w:rPr>
              <w:t>0</w:t>
            </w:r>
          </w:p>
        </w:tc>
        <w:tc>
          <w:tcPr>
            <w:tcW w:w="707"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rPr>
            </w:pPr>
            <w:r>
              <w:rPr>
                <w:rFonts w:hint="eastAsia" w:ascii="Calibri" w:hAnsi="Calibri" w:eastAsia="宋体" w:cs="Times New Roman"/>
                <w:color w:val="333333"/>
                <w:sz w:val="24"/>
              </w:rPr>
              <w:t>0</w:t>
            </w:r>
          </w:p>
        </w:tc>
        <w:tc>
          <w:tcPr>
            <w:tcW w:w="707"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rPr>
            </w:pPr>
            <w:r>
              <w:rPr>
                <w:rFonts w:hint="eastAsia" w:ascii="Calibri" w:hAnsi="Calibri" w:eastAsia="宋体" w:cs="Times New Roman"/>
                <w:color w:val="333333"/>
                <w:sz w:val="24"/>
              </w:rPr>
              <w:t>0</w:t>
            </w:r>
          </w:p>
        </w:tc>
        <w:tc>
          <w:tcPr>
            <w:tcW w:w="707"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rPr>
            </w:pPr>
            <w:r>
              <w:rPr>
                <w:rFonts w:hint="eastAsia" w:ascii="Calibri" w:hAnsi="Calibri" w:eastAsia="宋体" w:cs="Times New Roman"/>
                <w:color w:val="333333"/>
                <w:sz w:val="24"/>
              </w:rPr>
              <w:t>0</w:t>
            </w:r>
          </w:p>
        </w:tc>
        <w:tc>
          <w:tcPr>
            <w:tcW w:w="566"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rPr>
            </w:pPr>
            <w:r>
              <w:rPr>
                <w:rFonts w:hint="eastAsia" w:ascii="Calibri" w:hAnsi="Calibri" w:eastAsia="宋体" w:cs="Times New Roman"/>
                <w:color w:val="333333"/>
                <w:sz w:val="24"/>
              </w:rPr>
              <w:t>0</w:t>
            </w:r>
          </w:p>
        </w:tc>
        <w:tc>
          <w:tcPr>
            <w:tcW w:w="707"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rPr>
            </w:pPr>
            <w:r>
              <w:rPr>
                <w:rFonts w:hint="eastAsia" w:ascii="Calibri" w:hAnsi="Calibri" w:eastAsia="宋体" w:cs="Times New Roman"/>
                <w:color w:val="333333"/>
                <w:sz w:val="24"/>
              </w:rPr>
              <w:t>0</w:t>
            </w:r>
          </w:p>
        </w:tc>
        <w:tc>
          <w:tcPr>
            <w:tcW w:w="706"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rPr>
            </w:pPr>
            <w:r>
              <w:rPr>
                <w:rFonts w:hint="eastAsia" w:ascii="Calibri" w:hAnsi="Calibri" w:eastAsia="宋体" w:cs="Times New Roman"/>
                <w:color w:val="333333"/>
                <w:sz w:val="24"/>
              </w:rPr>
              <w:t>0</w:t>
            </w:r>
          </w:p>
        </w:tc>
        <w:tc>
          <w:tcPr>
            <w:tcW w:w="75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rPr>
            </w:pPr>
            <w:r>
              <w:rPr>
                <w:rFonts w:hint="eastAsia" w:ascii="Calibri" w:hAnsi="Calibri" w:eastAsia="宋体" w:cs="Times New Roman"/>
                <w:color w:val="333333"/>
                <w:sz w:val="24"/>
              </w:rPr>
              <w:t>0</w:t>
            </w:r>
          </w:p>
        </w:tc>
        <w:tc>
          <w:tcPr>
            <w:tcW w:w="6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rPr>
            </w:pPr>
            <w:r>
              <w:rPr>
                <w:rFonts w:hint="eastAsia" w:ascii="Calibri" w:hAnsi="Calibri" w:eastAsia="宋体" w:cs="Times New Roman"/>
                <w:color w:val="333333"/>
                <w:sz w:val="24"/>
              </w:rPr>
              <w:t>0</w:t>
            </w:r>
          </w:p>
        </w:tc>
        <w:tc>
          <w:tcPr>
            <w:tcW w:w="548"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rPr>
            </w:pPr>
            <w:r>
              <w:rPr>
                <w:rFonts w:hint="eastAsia" w:ascii="宋体" w:hAnsi="宋体" w:eastAsia="宋体" w:cs="宋体"/>
                <w:color w:val="000000"/>
                <w:kern w:val="0"/>
                <w:sz w:val="24"/>
              </w:rPr>
              <w:t>0</w:t>
            </w:r>
          </w:p>
        </w:tc>
        <w:tc>
          <w:tcPr>
            <w:tcW w:w="72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rPr>
            </w:pPr>
            <w:r>
              <w:rPr>
                <w:rFonts w:hint="eastAsia" w:ascii="Calibri" w:hAnsi="Calibri" w:eastAsia="宋体" w:cs="Times New Roman"/>
                <w:color w:val="333333"/>
                <w:sz w:val="24"/>
              </w:rPr>
              <w:t>0</w:t>
            </w:r>
          </w:p>
        </w:tc>
        <w:tc>
          <w:tcPr>
            <w:tcW w:w="69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rPr>
            </w:pPr>
            <w:r>
              <w:rPr>
                <w:rFonts w:hint="eastAsia" w:ascii="Calibri" w:hAnsi="Calibri" w:eastAsia="宋体" w:cs="Times New Roman"/>
                <w:color w:val="333333"/>
                <w:sz w:val="24"/>
              </w:rPr>
              <w:t>0</w:t>
            </w:r>
          </w:p>
        </w:tc>
        <w:tc>
          <w:tcPr>
            <w:tcW w:w="71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rPr>
            </w:pPr>
            <w:r>
              <w:rPr>
                <w:rFonts w:hint="eastAsia" w:ascii="宋体" w:hAnsi="宋体" w:eastAsia="宋体" w:cs="宋体"/>
                <w:color w:val="000000"/>
                <w:kern w:val="0"/>
                <w:sz w:val="24"/>
              </w:rPr>
              <w:t>0</w:t>
            </w:r>
          </w:p>
        </w:tc>
        <w:tc>
          <w:tcPr>
            <w:tcW w:w="708"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rPr>
            </w:pPr>
            <w:r>
              <w:rPr>
                <w:rFonts w:hint="eastAsia" w:ascii="Calibri" w:hAnsi="Calibri" w:eastAsia="宋体" w:cs="Times New Roman"/>
                <w:color w:val="333333"/>
                <w:sz w:val="24"/>
              </w:rPr>
              <w:t>0</w:t>
            </w:r>
          </w:p>
        </w:tc>
        <w:tc>
          <w:tcPr>
            <w:tcW w:w="417" w:type="dxa"/>
            <w:tcBorders>
              <w:top w:val="single" w:color="auto" w:sz="4" w:space="0"/>
              <w:left w:val="nil"/>
              <w:bottom w:val="single" w:color="auto" w:sz="4" w:space="0"/>
              <w:right w:val="single" w:color="auto" w:sz="4" w:space="0"/>
            </w:tcBorders>
            <w:vAlign w:val="center"/>
          </w:tcPr>
          <w:p>
            <w:pPr>
              <w:widowControl/>
              <w:spacing w:line="480" w:lineRule="auto"/>
              <w:jc w:val="center"/>
              <w:rPr>
                <w:rFonts w:ascii="宋体" w:hAnsi="宋体" w:eastAsia="宋体" w:cs="宋体"/>
                <w:color w:val="333333"/>
                <w:kern w:val="0"/>
                <w:sz w:val="24"/>
              </w:rPr>
            </w:pPr>
            <w:r>
              <w:rPr>
                <w:rFonts w:hint="eastAsia" w:ascii="宋体" w:hAnsi="宋体" w:eastAsia="宋体" w:cs="宋体"/>
                <w:color w:val="333333"/>
                <w:kern w:val="0"/>
                <w:sz w:val="24"/>
              </w:rPr>
              <w:t>0</w:t>
            </w:r>
          </w:p>
        </w:tc>
      </w:tr>
    </w:tbl>
    <w:p>
      <w:pPr>
        <w:pStyle w:val="5"/>
        <w:widowControl/>
        <w:adjustRightInd w:val="0"/>
        <w:snapToGrid w:val="0"/>
        <w:spacing w:beforeAutospacing="0" w:afterAutospacing="0" w:line="560" w:lineRule="exact"/>
        <w:ind w:firstLine="640" w:firstLineChars="200"/>
        <w:rPr>
          <w:rFonts w:ascii="Times New Roman" w:hAnsi="Times New Roman" w:eastAsia="楷体_GB2312"/>
          <w:color w:val="000000"/>
          <w:sz w:val="32"/>
          <w:szCs w:val="32"/>
        </w:rPr>
      </w:pPr>
      <w:r>
        <w:rPr>
          <w:rFonts w:hint="eastAsia" w:ascii="Times New Roman" w:hAnsi="Times New Roman" w:eastAsia="黑体"/>
          <w:color w:val="000000"/>
          <w:sz w:val="32"/>
          <w:szCs w:val="32"/>
        </w:rPr>
        <w:t>五、</w:t>
      </w:r>
      <w:r>
        <w:rPr>
          <w:rFonts w:ascii="Times New Roman" w:hAnsi="Times New Roman" w:eastAsia="黑体"/>
          <w:color w:val="000000"/>
          <w:sz w:val="32"/>
          <w:szCs w:val="32"/>
        </w:rPr>
        <w:t>存在的主要问题及改进情况</w:t>
      </w:r>
    </w:p>
    <w:p>
      <w:pPr>
        <w:pStyle w:val="5"/>
        <w:widowControl/>
        <w:adjustRightInd w:val="0"/>
        <w:snapToGrid w:val="0"/>
        <w:spacing w:beforeAutospacing="0" w:afterAutospacing="0" w:line="560" w:lineRule="exact"/>
        <w:ind w:firstLine="640" w:firstLineChars="200"/>
        <w:rPr>
          <w:rFonts w:ascii="Times New Roman" w:hAnsi="Times New Roman" w:eastAsia="楷体_GB2312"/>
          <w:color w:val="000000"/>
          <w:sz w:val="32"/>
          <w:szCs w:val="32"/>
        </w:rPr>
      </w:pPr>
      <w:r>
        <w:rPr>
          <w:rFonts w:hint="eastAsia" w:ascii="Times New Roman" w:hAnsi="Times New Roman" w:eastAsia="黑体"/>
          <w:color w:val="000000"/>
          <w:sz w:val="32"/>
          <w:szCs w:val="32"/>
        </w:rPr>
        <w:t>（一）</w:t>
      </w:r>
      <w:r>
        <w:rPr>
          <w:rFonts w:ascii="Times New Roman" w:hAnsi="Times New Roman" w:eastAsia="楷体_GB2312"/>
          <w:color w:val="000000"/>
          <w:sz w:val="32"/>
          <w:szCs w:val="32"/>
        </w:rPr>
        <w:t>主要问题</w:t>
      </w:r>
    </w:p>
    <w:p>
      <w:pPr>
        <w:pStyle w:val="5"/>
        <w:widowControl/>
        <w:adjustRightInd w:val="0"/>
        <w:snapToGrid w:val="0"/>
        <w:spacing w:beforeAutospacing="0" w:afterAutospacing="0" w:line="560" w:lineRule="exact"/>
        <w:ind w:firstLine="640" w:firstLineChars="200"/>
        <w:rPr>
          <w:rFonts w:hint="eastAsia" w:ascii="Times New Roman" w:hAnsi="Times New Roman" w:eastAsia="仿宋_GB2312"/>
          <w:color w:val="000000"/>
          <w:sz w:val="32"/>
          <w:szCs w:val="32"/>
          <w:lang w:val="en-US" w:eastAsia="zh-CN"/>
        </w:rPr>
      </w:pPr>
      <w:r>
        <w:rPr>
          <w:rFonts w:ascii="Times New Roman" w:hAnsi="Times New Roman" w:eastAsia="仿宋_GB2312"/>
          <w:color w:val="000000"/>
          <w:sz w:val="32"/>
          <w:szCs w:val="32"/>
        </w:rPr>
        <w:t>我街道信息公开工作虽然取得了一定的成效，但与建设法治政府的新要求、人民群众的新期待，还存在一些差距。主要表现为：</w:t>
      </w:r>
      <w:r>
        <w:rPr>
          <w:rFonts w:hint="eastAsia" w:ascii="Times New Roman" w:hAnsi="Times New Roman" w:eastAsia="仿宋_GB2312"/>
          <w:color w:val="000000"/>
          <w:sz w:val="32"/>
          <w:szCs w:val="32"/>
          <w:lang w:eastAsia="zh-CN"/>
        </w:rPr>
        <w:t>一是重表面内容，轻实质问题。公开内容不够深刻，不是群众之所想、群众之所急的问题。二是重简单公开、轻及时反馈。没有根本考虑和统筹安排如何广开言路，没有紧扣基层群众关心关切的热点问题。</w:t>
      </w:r>
    </w:p>
    <w:p>
      <w:pPr>
        <w:pStyle w:val="5"/>
        <w:widowControl/>
        <w:adjustRightInd w:val="0"/>
        <w:snapToGrid w:val="0"/>
        <w:spacing w:beforeAutospacing="0" w:afterAutospacing="0" w:line="560" w:lineRule="exact"/>
        <w:ind w:firstLine="640" w:firstLineChars="200"/>
        <w:rPr>
          <w:rFonts w:hint="eastAsia" w:ascii="Times New Roman" w:hAnsi="Times New Roman" w:eastAsia="楷体_GB2312"/>
          <w:color w:val="000000"/>
          <w:sz w:val="32"/>
          <w:szCs w:val="32"/>
          <w:lang w:eastAsia="zh-CN"/>
        </w:rPr>
      </w:pPr>
      <w:r>
        <w:rPr>
          <w:rFonts w:hint="eastAsia" w:ascii="Times New Roman" w:hAnsi="Times New Roman" w:eastAsia="楷体_GB2312"/>
          <w:color w:val="000000"/>
          <w:sz w:val="32"/>
          <w:szCs w:val="32"/>
        </w:rPr>
        <w:t>（二）</w:t>
      </w:r>
      <w:r>
        <w:rPr>
          <w:rFonts w:ascii="Times New Roman" w:hAnsi="Times New Roman" w:eastAsia="楷体_GB2312"/>
          <w:color w:val="000000"/>
          <w:sz w:val="32"/>
          <w:szCs w:val="32"/>
        </w:rPr>
        <w:t>改进措施</w:t>
      </w:r>
    </w:p>
    <w:p>
      <w:pPr>
        <w:pStyle w:val="5"/>
        <w:widowControl/>
        <w:adjustRightInd w:val="0"/>
        <w:snapToGrid w:val="0"/>
        <w:spacing w:beforeAutospacing="0" w:afterAutospacing="0" w:line="560" w:lineRule="exact"/>
        <w:ind w:firstLine="640" w:firstLineChars="200"/>
        <w:rPr>
          <w:rFonts w:hint="eastAsia" w:ascii="Times New Roman" w:hAnsi="Times New Roman" w:eastAsia="仿宋_GB2312"/>
          <w:color w:val="000000"/>
          <w:sz w:val="32"/>
          <w:szCs w:val="32"/>
          <w:lang w:eastAsia="zh-CN"/>
        </w:rPr>
      </w:pPr>
      <w:r>
        <w:rPr>
          <w:rFonts w:ascii="Times New Roman" w:hAnsi="Times New Roman" w:eastAsia="仿宋_GB2312"/>
          <w:color w:val="000000"/>
          <w:sz w:val="32"/>
          <w:szCs w:val="32"/>
        </w:rPr>
        <w:t>2021年我街道将重点围绕以下两方面开展工作：一是</w:t>
      </w:r>
      <w:r>
        <w:rPr>
          <w:rFonts w:hint="eastAsia" w:ascii="Times New Roman" w:hAnsi="Times New Roman" w:eastAsia="仿宋_GB2312"/>
          <w:color w:val="000000"/>
          <w:sz w:val="32"/>
          <w:szCs w:val="32"/>
          <w:lang w:eastAsia="zh-CN"/>
        </w:rPr>
        <w:t>找准政务公开立足点。加强热点公开，拓展公开内容。突出真实性、广泛性、时效性，让群众及时了解政务情况，让广大群众真正参与政务、管理政务、监督政务、从而取得群众对政府工作的理解和支持，因此政务公开要准确定位，真实有效。</w:t>
      </w:r>
      <w:r>
        <w:rPr>
          <w:rFonts w:ascii="Times New Roman" w:hAnsi="Times New Roman" w:eastAsia="仿宋_GB2312"/>
          <w:color w:val="000000"/>
          <w:sz w:val="32"/>
          <w:szCs w:val="32"/>
        </w:rPr>
        <w:t>二是</w:t>
      </w:r>
      <w:r>
        <w:rPr>
          <w:rFonts w:hint="eastAsia" w:ascii="Times New Roman" w:hAnsi="Times New Roman" w:eastAsia="仿宋_GB2312"/>
          <w:color w:val="000000"/>
          <w:sz w:val="32"/>
          <w:szCs w:val="32"/>
          <w:lang w:eastAsia="zh-CN"/>
        </w:rPr>
        <w:t>落实政务公开的关键点。建立健全监督机制，不断加大监督检查的力度。切实加强内部监督及外部监督。对内要深化政务公开工作的重点、难点，加强政务公开工作的有效手段，比如制定考核办法，落实部门责任及勤政廉政规定等。对外要通过设立举报电话、意见箱、走访调查等方式广泛收集社会各界人士对本单位政务公开工作的意见和建议，及时找准政务公开工作的薄弱环节和突出问题，确保政务公开取得实效。</w:t>
      </w:r>
    </w:p>
    <w:p>
      <w:pPr>
        <w:pStyle w:val="5"/>
        <w:widowControl/>
        <w:adjustRightInd w:val="0"/>
        <w:snapToGrid w:val="0"/>
        <w:spacing w:beforeAutospacing="0" w:afterAutospacing="0"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六、</w:t>
      </w:r>
      <w:r>
        <w:rPr>
          <w:rFonts w:ascii="Times New Roman" w:hAnsi="Times New Roman" w:eastAsia="黑体"/>
          <w:color w:val="000000"/>
          <w:sz w:val="32"/>
          <w:szCs w:val="32"/>
        </w:rPr>
        <w:t>其他需要报告的事项</w:t>
      </w:r>
    </w:p>
    <w:p>
      <w:pPr>
        <w:pStyle w:val="5"/>
        <w:widowControl/>
        <w:adjustRightInd w:val="0"/>
        <w:snapToGrid w:val="0"/>
        <w:spacing w:beforeAutospacing="0" w:afterAutospacing="0"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本报告所列数据可能因四舍五入原因与数据直接相加之和存在尾数差异。</w:t>
      </w: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640" w:firstLineChars="20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高青县田镇街道办事处</w:t>
      </w:r>
    </w:p>
    <w:p>
      <w:pPr>
        <w:adjustRightInd w:val="0"/>
        <w:snapToGrid w:val="0"/>
        <w:spacing w:line="560" w:lineRule="exact"/>
        <w:ind w:firstLine="640" w:firstLineChars="20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2021年1月20日</w:t>
      </w:r>
    </w:p>
    <w:sectPr>
      <w:pgSz w:w="11906" w:h="16838"/>
      <w:pgMar w:top="1984"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F31F40"/>
    <w:multiLevelType w:val="singleLevel"/>
    <w:tmpl w:val="CBF31F4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4416409"/>
    <w:rsid w:val="005F3EC2"/>
    <w:rsid w:val="00647556"/>
    <w:rsid w:val="006F5E31"/>
    <w:rsid w:val="008569F4"/>
    <w:rsid w:val="00B205F6"/>
    <w:rsid w:val="00BF31D0"/>
    <w:rsid w:val="00CA2F42"/>
    <w:rsid w:val="00E76ACA"/>
    <w:rsid w:val="00EB51EB"/>
    <w:rsid w:val="0BD35E5F"/>
    <w:rsid w:val="0CD24347"/>
    <w:rsid w:val="0CF64541"/>
    <w:rsid w:val="0DAF71D4"/>
    <w:rsid w:val="0DC91D2B"/>
    <w:rsid w:val="0F8775E8"/>
    <w:rsid w:val="132977E5"/>
    <w:rsid w:val="14DC6009"/>
    <w:rsid w:val="19693B28"/>
    <w:rsid w:val="19F35AE2"/>
    <w:rsid w:val="1E476214"/>
    <w:rsid w:val="1E851AB4"/>
    <w:rsid w:val="2114526F"/>
    <w:rsid w:val="2B12273B"/>
    <w:rsid w:val="325B2FE9"/>
    <w:rsid w:val="34416409"/>
    <w:rsid w:val="3E196E36"/>
    <w:rsid w:val="45EE69A7"/>
    <w:rsid w:val="45FC0599"/>
    <w:rsid w:val="52966687"/>
    <w:rsid w:val="59554884"/>
    <w:rsid w:val="5D7401B7"/>
    <w:rsid w:val="6F3F55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6"/>
    <w:link w:val="4"/>
    <w:qFormat/>
    <w:uiPriority w:val="0"/>
    <w:rPr>
      <w:rFonts w:asciiTheme="minorHAnsi" w:hAnsiTheme="minorHAnsi" w:eastAsiaTheme="minorEastAsia" w:cstheme="minorBidi"/>
      <w:kern w:val="2"/>
      <w:sz w:val="18"/>
      <w:szCs w:val="18"/>
    </w:rPr>
  </w:style>
  <w:style w:type="character" w:customStyle="1" w:styleId="10">
    <w:name w:val="页脚 Char"/>
    <w:basedOn w:val="6"/>
    <w:link w:val="3"/>
    <w:qFormat/>
    <w:uiPriority w:val="0"/>
    <w:rPr>
      <w:rFonts w:asciiTheme="minorHAnsi" w:hAnsiTheme="minorHAnsi" w:eastAsiaTheme="minorEastAsia" w:cstheme="minorBidi"/>
      <w:kern w:val="2"/>
      <w:sz w:val="18"/>
      <w:szCs w:val="18"/>
    </w:rPr>
  </w:style>
  <w:style w:type="character" w:customStyle="1" w:styleId="11">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10</Pages>
  <Words>589</Words>
  <Characters>3360</Characters>
  <Lines>28</Lines>
  <Paragraphs>7</Paragraphs>
  <TotalTime>59</TotalTime>
  <ScaleCrop>false</ScaleCrop>
  <LinksUpToDate>false</LinksUpToDate>
  <CharactersWithSpaces>3942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2020-01-15T08:09:00Z</dcterms:created>
  <dc:creator>郑建新</dc:creator>
  <cp:lastModifiedBy>Administrator</cp:lastModifiedBy>
  <dcterms:modified xsi:type="dcterms:W3CDTF">2021-06-01T08:28:44Z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