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高青县田镇街道办事处2019年政府信息  公开年度报告</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本报告根据《中华人民共和国政府信息公开</w:t>
      </w:r>
      <w:bookmarkStart w:id="0" w:name="_GoBack"/>
      <w:bookmarkEnd w:id="0"/>
      <w:r>
        <w:rPr>
          <w:rFonts w:hint="eastAsia" w:ascii="仿宋_GB2312" w:hAnsi="仿宋_GB2312" w:eastAsia="仿宋_GB2312" w:cs="仿宋_GB2312"/>
          <w:sz w:val="32"/>
          <w:szCs w:val="32"/>
        </w:rPr>
        <w:t>条例》（国务院令第711号，以下简称《条例》）要求，由高青县人民政府办公室综合各乡镇人民政府、街道办事处、经济开发区管委会和县政府各部门、各有关单位政府信息公开工作情况编制。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报告全文由总体情况、主动公开政府信息情况、收到和处理政府信息公开申请情况、政府信息公开行政复议行政诉讼情况、存在的主要问题及改进情况、其他需要报告的事项6个部分组成。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告中所列数据统计期限自2019年1月1日始，至2019年12月31日止。报告电子版可在高青县人民政府门户网站（www.gaoqing.gov.cn）查阅和下载。如对报告内容有疑问，请与高青县田镇街道办事处党政办联系（地址：高青县黄河路903号；邮编：256300；电话：0533—6961342；传真：0533—6961342）。</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一、总体情况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高青县深入贯彻新修订的《中华人民共和国政府信息公开条例》，认真落实《国务院办公厅关于印发2019年政务公开工作要点的通知》（国办发〔2019〕14号）、《山东省人民政府办公厅关于印发2019年山东省政务公开工作要点的通知》（鲁政办发〔2019〕15号）和《淄博市人民政府办公室关于印发2019年淄博市政务公开工作方案的通知》（淄政办发〔2019〕5号）部署的各项任务，持续做好信息发布、解读回应、政民互动、平台建设，着力推动行政权力全过程公开、公共服务全流程公开、社会关切全方位回应，切实提升政务公开质量，为全年经济社会发展创造更加开放透明的政务环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（一）政府信息公开体制机制建设情况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田镇街道深化政务公开、大力营造风清气正的政务生态统一部署，统筹推进，安排专人负责政府公开工作，强化组织领导，由副书记直接分管政务公开工作，并向社会公开。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（二）主动公开政府信息情况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大代表建议和政协委员提案办理结果公开方面：按照《高青县人民政府办公室关于做好2019年度政府系统建议提案办理工作的通知》（高政办字〔2019〕14号）要求，主动公开人大代表建议和政协委员提案办理情况。2019年主动公开田镇街道承办的10件人大代表建议、5件政协委员提案的整体办理情况，对涉及公共利益、公众权益、社会关切及需要社会广泛知晓的建议和提案办理复文全文予以公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（三）依申请公开情况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申请的信息可以公开的，提供该政府信息，或者告知申请人获取该政府信息的方式、途径和时间；对于申请的信息不属于本机关公开范围的，告知申请人并说明理由，能够确定公开机关的，告知申请人该机关的名称和联系方式；对于较为复杂的申请件，主动与申请人沟通，了解群众需求，避免因误解引起行政复议或行政诉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1.收到和处理政府信息公开申请情况</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2019年，田镇街道共收到政府信息公开申请4件，2018年度结转政府信息公开申请0件。</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申请处理情况：2019年共办结信息公开申请4件。在答复的申请中：</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予以公开的办件有0件，占0%；</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部分公开的有1件，占25%；</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不予公开的有0件，占0%；</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无法提供的办件有3件，占75%。</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drawing>
          <wp:inline distT="0" distB="0" distL="114300" distR="114300">
            <wp:extent cx="4457700" cy="3476625"/>
            <wp:effectExtent l="0" t="0" r="0" b="9525"/>
            <wp:docPr id="2" name="图片 2"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4457700" cy="3476625"/>
                    </a:xfrm>
                    <a:prstGeom prst="rect">
                      <a:avLst/>
                    </a:prstGeom>
                    <a:noFill/>
                    <a:ln w="9525">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2.收费及减免情况</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本年度，田镇街道在政府信息公开申请办理过程中，未收取任何费用。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3.政府信息公开行政复议、行政诉讼情况</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2019年，田镇街道共发生政府信息公开行政复议0件。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（四）政府信息管理情况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一是加强政府信息规范管理，二是继续统一规范，三是进一步优化功能。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（五）政府信息公开平台、机构建设和人员情况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加强平台建设。强化政务公开第一平台作用，完善政府信息公开目录，加大重点领域信息公开力度，全面公开领导班子成员分工，接受社会监督。加大政务微信等新媒体平台的政务公开力度，统筹推进政务新媒体与政府网站的协同联动、融合发展，提升信息发布、解读回应、政民互动、办事服务的整体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二是强化机构建设。田镇街道党政办公室作为政府信息公开工作具体科室，2人负责政务公开工作，其中1人专职，1人兼职。</w:t>
      </w:r>
    </w:p>
    <w:p>
      <w:pPr>
        <w:keepNext w:val="0"/>
        <w:keepLines w:val="0"/>
        <w:pageBreakBefore w:val="0"/>
        <w:widowControl w:val="0"/>
        <w:kinsoku/>
        <w:wordWrap/>
        <w:overflowPunct/>
        <w:topLinePunct w:val="0"/>
        <w:autoSpaceDE/>
        <w:autoSpaceDN/>
        <w:bidi w:val="0"/>
        <w:adjustRightInd/>
        <w:snapToGrid/>
        <w:spacing w:line="580" w:lineRule="exact"/>
        <w:ind w:firstLine="320" w:firstLineChars="1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（六）监督保障情况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一是加强工作考核，二是强化责任追究。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5"/>
        <w:tblW w:w="8705" w:type="dxa"/>
        <w:jc w:val="center"/>
        <w:tblInd w:w="0" w:type="dxa"/>
        <w:tblLayout w:type="fixed"/>
        <w:tblCellMar>
          <w:top w:w="0" w:type="dxa"/>
          <w:left w:w="108" w:type="dxa"/>
          <w:bottom w:w="0" w:type="dxa"/>
          <w:right w:w="108" w:type="dxa"/>
        </w:tblCellMar>
      </w:tblPr>
      <w:tblGrid>
        <w:gridCol w:w="2752"/>
        <w:gridCol w:w="1984"/>
        <w:gridCol w:w="1985"/>
        <w:gridCol w:w="1984"/>
      </w:tblGrid>
      <w:tr>
        <w:tblPrEx>
          <w:tblLayout w:type="fixed"/>
          <w:tblCellMar>
            <w:top w:w="0" w:type="dxa"/>
            <w:left w:w="108" w:type="dxa"/>
            <w:bottom w:w="0" w:type="dxa"/>
            <w:right w:w="108" w:type="dxa"/>
          </w:tblCellMar>
        </w:tblPrEx>
        <w:trPr>
          <w:trHeight w:val="495"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b/>
                <w:color w:val="333333"/>
                <w:kern w:val="0"/>
                <w:sz w:val="24"/>
              </w:rPr>
            </w:pPr>
            <w:r>
              <w:rPr>
                <w:rFonts w:hint="eastAsia" w:ascii="宋体" w:hAnsi="宋体" w:eastAsia="宋体" w:cs="宋体"/>
                <w:b/>
                <w:color w:val="333333"/>
                <w:kern w:val="0"/>
                <w:sz w:val="24"/>
              </w:rPr>
              <w:t>第二十条第（一）项</w:t>
            </w:r>
          </w:p>
        </w:tc>
      </w:tr>
      <w:tr>
        <w:tblPrEx>
          <w:tblLayout w:type="fixed"/>
          <w:tblCellMar>
            <w:top w:w="0" w:type="dxa"/>
            <w:left w:w="108" w:type="dxa"/>
            <w:bottom w:w="0" w:type="dxa"/>
            <w:right w:w="108" w:type="dxa"/>
          </w:tblCellMar>
        </w:tblPrEx>
        <w:trPr>
          <w:trHeight w:val="88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本年新</w:t>
            </w:r>
            <w:r>
              <w:rPr>
                <w:rFonts w:ascii="宋体" w:hAnsi="宋体" w:eastAsia="宋体" w:cs="宋体"/>
                <w:color w:val="333333"/>
                <w:kern w:val="0"/>
                <w:sz w:val="24"/>
              </w:rPr>
              <w:t>制作数量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本年新</w:t>
            </w:r>
            <w:r>
              <w:rPr>
                <w:rFonts w:ascii="宋体" w:hAnsi="宋体" w:eastAsia="宋体" w:cs="宋体"/>
                <w:color w:val="333333"/>
                <w:kern w:val="0"/>
                <w:sz w:val="24"/>
              </w:rPr>
              <w:t>公开数量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对外公开总数量</w:t>
            </w:r>
          </w:p>
        </w:tc>
      </w:tr>
      <w:tr>
        <w:tblPrEx>
          <w:tblLayout w:type="fixed"/>
          <w:tblCellMar>
            <w:top w:w="0" w:type="dxa"/>
            <w:left w:w="108" w:type="dxa"/>
            <w:bottom w:w="0" w:type="dxa"/>
            <w:right w:w="108" w:type="dxa"/>
          </w:tblCellMar>
        </w:tblPrEx>
        <w:trPr>
          <w:trHeight w:val="69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rPr>
            </w:pPr>
            <w:r>
              <w:rPr>
                <w:rFonts w:hint="eastAsia" w:ascii="宋体" w:hAnsi="宋体" w:eastAsia="宋体" w:cs="宋体"/>
                <w:color w:val="000000"/>
                <w:kern w:val="0"/>
                <w:sz w:val="24"/>
              </w:rPr>
              <w:t>规章</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0</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rPr>
            </w:pPr>
            <w:r>
              <w:rPr>
                <w:rFonts w:hint="eastAsia" w:ascii="宋体" w:hAnsi="Calibri" w:eastAsia="宋体" w:cs="Times New Roman"/>
                <w:color w:val="000000"/>
                <w:kern w:val="0"/>
                <w:sz w:val="24"/>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0</w:t>
            </w:r>
          </w:p>
        </w:tc>
      </w:tr>
      <w:tr>
        <w:tblPrEx>
          <w:tblLayout w:type="fixed"/>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rPr>
            </w:pPr>
            <w:r>
              <w:rPr>
                <w:rFonts w:hint="eastAsia" w:ascii="宋体" w:hAnsi="宋体" w:eastAsia="宋体" w:cs="宋体"/>
                <w:color w:val="000000"/>
                <w:kern w:val="0"/>
                <w:sz w:val="24"/>
              </w:rPr>
              <w:t>规范性文件</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0</w:t>
            </w:r>
          </w:p>
        </w:tc>
        <w:tc>
          <w:tcPr>
            <w:tcW w:w="1985" w:type="dxa"/>
            <w:tcBorders>
              <w:top w:val="nil"/>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rPr>
            </w:pPr>
            <w:r>
              <w:rPr>
                <w:rFonts w:hint="eastAsia" w:ascii="宋体" w:hAnsi="Calibri" w:eastAsia="宋体" w:cs="Times New Roman"/>
                <w:color w:val="000000"/>
                <w:kern w:val="0"/>
                <w:sz w:val="24"/>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0</w:t>
            </w:r>
          </w:p>
        </w:tc>
      </w:tr>
      <w:tr>
        <w:tblPrEx>
          <w:tblLayout w:type="fixed"/>
          <w:tblCellMar>
            <w:top w:w="0" w:type="dxa"/>
            <w:left w:w="108" w:type="dxa"/>
            <w:bottom w:w="0" w:type="dxa"/>
            <w:right w:w="108" w:type="dxa"/>
          </w:tblCellMar>
        </w:tblPrEx>
        <w:trPr>
          <w:trHeight w:val="480"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b/>
                <w:color w:val="333333"/>
                <w:kern w:val="0"/>
                <w:sz w:val="24"/>
              </w:rPr>
              <w:t>第二十条第（五）项</w:t>
            </w:r>
          </w:p>
        </w:tc>
      </w:tr>
      <w:tr>
        <w:tblPrEx>
          <w:tblLayout w:type="fixed"/>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上一年项目数量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本年增/减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处理决定数量</w:t>
            </w:r>
          </w:p>
        </w:tc>
      </w:tr>
      <w:tr>
        <w:tblPrEx>
          <w:tblLayout w:type="fixed"/>
          <w:tblCellMar>
            <w:top w:w="0" w:type="dxa"/>
            <w:left w:w="108" w:type="dxa"/>
            <w:bottom w:w="0" w:type="dxa"/>
            <w:right w:w="108" w:type="dxa"/>
          </w:tblCellMar>
        </w:tblPrEx>
        <w:trPr>
          <w:trHeight w:val="6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rPr>
            </w:pPr>
            <w:r>
              <w:rPr>
                <w:rFonts w:hint="eastAsia" w:ascii="宋体" w:hAnsi="宋体" w:eastAsia="宋体" w:cs="宋体"/>
                <w:color w:val="000000"/>
                <w:kern w:val="0"/>
                <w:sz w:val="24"/>
              </w:rPr>
              <w:t>行政许可</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333333"/>
                <w:kern w:val="0"/>
                <w:sz w:val="24"/>
              </w:rPr>
              <w:t>0</w:t>
            </w:r>
          </w:p>
        </w:tc>
        <w:tc>
          <w:tcPr>
            <w:tcW w:w="198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333333"/>
                <w:kern w:val="0"/>
                <w:sz w:val="24"/>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333333"/>
                <w:kern w:val="0"/>
                <w:sz w:val="24"/>
              </w:rPr>
              <w:t>0</w:t>
            </w:r>
          </w:p>
        </w:tc>
      </w:tr>
      <w:tr>
        <w:tblPrEx>
          <w:tblLayout w:type="fixed"/>
          <w:tblCellMar>
            <w:top w:w="0" w:type="dxa"/>
            <w:left w:w="108" w:type="dxa"/>
            <w:bottom w:w="0" w:type="dxa"/>
            <w:right w:w="108" w:type="dxa"/>
          </w:tblCellMar>
        </w:tblPrEx>
        <w:trPr>
          <w:trHeight w:val="69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rPr>
            </w:pPr>
            <w:r>
              <w:rPr>
                <w:rFonts w:hint="eastAsia" w:ascii="宋体" w:hAnsi="宋体" w:eastAsia="宋体" w:cs="宋体"/>
                <w:color w:val="000000"/>
                <w:kern w:val="0"/>
                <w:sz w:val="24"/>
              </w:rPr>
              <w:t>其他对外管理服务事项</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9</w:t>
            </w:r>
          </w:p>
        </w:tc>
        <w:tc>
          <w:tcPr>
            <w:tcW w:w="198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333333"/>
                <w:kern w:val="0"/>
                <w:sz w:val="24"/>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10</w:t>
            </w:r>
          </w:p>
        </w:tc>
      </w:tr>
      <w:tr>
        <w:tblPrEx>
          <w:tblLayout w:type="fixed"/>
          <w:tblCellMar>
            <w:top w:w="0" w:type="dxa"/>
            <w:left w:w="108" w:type="dxa"/>
            <w:bottom w:w="0" w:type="dxa"/>
            <w:right w:w="108" w:type="dxa"/>
          </w:tblCellMar>
        </w:tblPrEx>
        <w:trPr>
          <w:trHeight w:val="40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b/>
                <w:color w:val="333333"/>
                <w:kern w:val="0"/>
                <w:sz w:val="24"/>
              </w:rPr>
              <w:t>第二十条第（六）项</w:t>
            </w:r>
          </w:p>
        </w:tc>
      </w:tr>
      <w:tr>
        <w:tblPrEx>
          <w:tblLayout w:type="fixed"/>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上一年项目数量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本年增/减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处理决定数量</w:t>
            </w:r>
          </w:p>
        </w:tc>
      </w:tr>
      <w:tr>
        <w:tblPrEx>
          <w:tblLayout w:type="fixed"/>
          <w:tblCellMar>
            <w:top w:w="0" w:type="dxa"/>
            <w:left w:w="108" w:type="dxa"/>
            <w:bottom w:w="0" w:type="dxa"/>
            <w:right w:w="108" w:type="dxa"/>
          </w:tblCellMar>
        </w:tblPrEx>
        <w:trPr>
          <w:trHeight w:val="56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rPr>
            </w:pPr>
            <w:r>
              <w:rPr>
                <w:rFonts w:hint="eastAsia" w:ascii="宋体" w:hAnsi="宋体" w:eastAsia="宋体" w:cs="宋体"/>
                <w:color w:val="000000"/>
                <w:kern w:val="0"/>
                <w:sz w:val="24"/>
              </w:rPr>
              <w:t>行政处罚</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333333"/>
                <w:kern w:val="0"/>
                <w:sz w:val="24"/>
              </w:rPr>
              <w:t>0</w:t>
            </w:r>
          </w:p>
        </w:tc>
        <w:tc>
          <w:tcPr>
            <w:tcW w:w="1985"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333333"/>
                <w:kern w:val="0"/>
                <w:sz w:val="24"/>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333333"/>
                <w:kern w:val="0"/>
                <w:sz w:val="24"/>
              </w:rPr>
              <w:t>0</w:t>
            </w:r>
          </w:p>
        </w:tc>
      </w:tr>
      <w:tr>
        <w:tblPrEx>
          <w:tblLayout w:type="fixed"/>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rPr>
            </w:pPr>
            <w:r>
              <w:rPr>
                <w:rFonts w:hint="eastAsia" w:ascii="宋体" w:hAnsi="宋体" w:eastAsia="宋体" w:cs="宋体"/>
                <w:color w:val="000000"/>
                <w:kern w:val="0"/>
                <w:sz w:val="24"/>
              </w:rPr>
              <w:t>行政强制</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333333"/>
                <w:kern w:val="0"/>
                <w:sz w:val="24"/>
              </w:rPr>
              <w:t>0</w:t>
            </w:r>
          </w:p>
        </w:tc>
        <w:tc>
          <w:tcPr>
            <w:tcW w:w="198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333333"/>
                <w:kern w:val="0"/>
                <w:sz w:val="24"/>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333333"/>
                <w:kern w:val="0"/>
                <w:sz w:val="24"/>
              </w:rPr>
              <w:t>0</w:t>
            </w:r>
          </w:p>
        </w:tc>
      </w:tr>
      <w:tr>
        <w:tblPrEx>
          <w:tblLayout w:type="fixed"/>
          <w:tblCellMar>
            <w:top w:w="0" w:type="dxa"/>
            <w:left w:w="108" w:type="dxa"/>
            <w:bottom w:w="0" w:type="dxa"/>
            <w:right w:w="108" w:type="dxa"/>
          </w:tblCellMar>
        </w:tblPrEx>
        <w:trPr>
          <w:trHeight w:val="474"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b/>
                <w:color w:val="333333"/>
                <w:kern w:val="0"/>
                <w:sz w:val="24"/>
              </w:rPr>
              <w:t>第二十条第（八）项</w:t>
            </w:r>
          </w:p>
        </w:tc>
      </w:tr>
      <w:tr>
        <w:tblPrEx>
          <w:tblLayout w:type="fixed"/>
          <w:tblCellMar>
            <w:top w:w="0" w:type="dxa"/>
            <w:left w:w="108" w:type="dxa"/>
            <w:bottom w:w="0" w:type="dxa"/>
            <w:right w:w="108" w:type="dxa"/>
          </w:tblCellMar>
        </w:tblPrEx>
        <w:trPr>
          <w:trHeight w:val="2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信息内容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rPr>
            </w:pPr>
            <w:r>
              <w:rPr>
                <w:rFonts w:hint="eastAsia" w:ascii="宋体" w:hAnsi="宋体" w:eastAsia="宋体" w:cs="宋体"/>
                <w:color w:val="000000"/>
                <w:kern w:val="0"/>
                <w:sz w:val="24"/>
              </w:rPr>
              <w:t>上一年项目数量</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本年增/减</w:t>
            </w:r>
          </w:p>
        </w:tc>
      </w:tr>
      <w:tr>
        <w:tblPrEx>
          <w:tblLayout w:type="fixed"/>
          <w:tblCellMar>
            <w:top w:w="0" w:type="dxa"/>
            <w:left w:w="108" w:type="dxa"/>
            <w:bottom w:w="0" w:type="dxa"/>
            <w:right w:w="108" w:type="dxa"/>
          </w:tblCellMar>
        </w:tblPrEx>
        <w:trPr>
          <w:trHeight w:val="72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rPr>
            </w:pPr>
            <w:r>
              <w:rPr>
                <w:rFonts w:hint="eastAsia" w:ascii="宋体" w:hAnsi="宋体" w:eastAsia="宋体" w:cs="宋体"/>
                <w:color w:val="000000"/>
                <w:kern w:val="0"/>
                <w:sz w:val="24"/>
              </w:rPr>
              <w:t>行政事业性收费</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0</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Calibri" w:eastAsia="宋体" w:cs="Times New Roman"/>
                <w:color w:val="000000"/>
                <w:kern w:val="0"/>
                <w:sz w:val="24"/>
              </w:rPr>
              <w:t>0</w:t>
            </w:r>
          </w:p>
        </w:tc>
      </w:tr>
      <w:tr>
        <w:tblPrEx>
          <w:tblLayout w:type="fixed"/>
          <w:tblCellMar>
            <w:top w:w="0" w:type="dxa"/>
            <w:left w:w="108" w:type="dxa"/>
            <w:bottom w:w="0" w:type="dxa"/>
            <w:right w:w="108" w:type="dxa"/>
          </w:tblCellMar>
        </w:tblPrEx>
        <w:trPr>
          <w:trHeight w:val="47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b/>
                <w:color w:val="333333"/>
                <w:kern w:val="0"/>
                <w:sz w:val="24"/>
              </w:rPr>
              <w:t>第二十条第（九）项</w:t>
            </w:r>
          </w:p>
        </w:tc>
      </w:tr>
      <w:tr>
        <w:tblPrEx>
          <w:tblLayout w:type="fixed"/>
          <w:tblCellMar>
            <w:top w:w="0" w:type="dxa"/>
            <w:left w:w="108" w:type="dxa"/>
            <w:bottom w:w="0" w:type="dxa"/>
            <w:right w:w="108" w:type="dxa"/>
          </w:tblCellMar>
        </w:tblPrEx>
        <w:trPr>
          <w:trHeight w:val="585"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信息内容</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采购项目数量</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采购总金额</w:t>
            </w:r>
          </w:p>
        </w:tc>
      </w:tr>
      <w:tr>
        <w:tblPrEx>
          <w:tblLayout w:type="fixed"/>
          <w:tblCellMar>
            <w:top w:w="0" w:type="dxa"/>
            <w:left w:w="108" w:type="dxa"/>
            <w:bottom w:w="0" w:type="dxa"/>
            <w:right w:w="108" w:type="dxa"/>
          </w:tblCellMar>
        </w:tblPrEx>
        <w:trPr>
          <w:trHeight w:val="748"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rPr>
            </w:pPr>
            <w:r>
              <w:rPr>
                <w:rFonts w:hint="eastAsia" w:ascii="宋体" w:hAnsi="宋体" w:eastAsia="宋体" w:cs="宋体"/>
                <w:color w:val="000000"/>
                <w:kern w:val="0"/>
                <w:sz w:val="24"/>
              </w:rPr>
              <w:t>政府集中采购</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939.369576万元</w:t>
            </w:r>
          </w:p>
        </w:tc>
      </w:tr>
    </w:tbl>
    <w:p>
      <w:pPr>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5"/>
        <w:tblW w:w="99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993"/>
        <w:gridCol w:w="2417"/>
        <w:gridCol w:w="985"/>
        <w:gridCol w:w="1007"/>
        <w:gridCol w:w="765"/>
        <w:gridCol w:w="825"/>
        <w:gridCol w:w="990"/>
        <w:gridCol w:w="720"/>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70"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（本列数据的勾稽关系为：第一项加第二项之和，等于第三项加第四项之和）</w:t>
            </w:r>
          </w:p>
        </w:tc>
        <w:tc>
          <w:tcPr>
            <w:tcW w:w="5994"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7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85" w:type="dxa"/>
            <w:vMerge w:val="restart"/>
            <w:tcBorders>
              <w:top w:val="nil"/>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自然人</w:t>
            </w:r>
          </w:p>
        </w:tc>
        <w:tc>
          <w:tcPr>
            <w:tcW w:w="4307"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法人或其他组织</w:t>
            </w:r>
          </w:p>
        </w:tc>
        <w:tc>
          <w:tcPr>
            <w:tcW w:w="702"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7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Calibri" w:hAnsi="Calibri" w:eastAsia="宋体" w:cs="Times New Roman"/>
                <w:color w:val="333333"/>
                <w:szCs w:val="21"/>
              </w:rPr>
            </w:pPr>
            <w:r>
              <w:rPr>
                <w:rFonts w:hint="eastAsia" w:ascii="Calibri" w:hAnsi="Calibri" w:eastAsia="宋体" w:cs="Times New Roman"/>
                <w:color w:val="333333"/>
                <w:szCs w:val="21"/>
              </w:rPr>
              <w:t>商业</w:t>
            </w:r>
          </w:p>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企业</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科研机构</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社会公益组织</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法律服务机构</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其他</w:t>
            </w:r>
          </w:p>
        </w:tc>
        <w:tc>
          <w:tcPr>
            <w:tcW w:w="702"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397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一、本年新收政府信息公开申请数量</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397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二、上年结转政府信息公开申请数量</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5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三、本年度办理结果</w:t>
            </w:r>
          </w:p>
        </w:tc>
        <w:tc>
          <w:tcPr>
            <w:tcW w:w="341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（一）予以公开</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341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（二）部分公开（区分处理的，只计这一情形，不计其他情形）</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93"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（三）不予公开</w:t>
            </w:r>
          </w:p>
        </w:tc>
        <w:tc>
          <w:tcPr>
            <w:tcW w:w="2417"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1.属于国家秘密</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2.其他法律行政法规禁止公开</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3.危及“三安全一稳定”</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4.保护第三方合法权益</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5.属于三类内部事务信息</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6.属于四类过程性信息</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7.属于行政执法案卷</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8.属于行政查询事项</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93"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（四）无法提供</w:t>
            </w:r>
          </w:p>
        </w:tc>
        <w:tc>
          <w:tcPr>
            <w:tcW w:w="2417"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1.本机关不掌握相关政府信息</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2.没有现成信息需要另行制作</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3.补正后申请内容仍不明确</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93"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（五）不予处理</w:t>
            </w:r>
          </w:p>
        </w:tc>
        <w:tc>
          <w:tcPr>
            <w:tcW w:w="2417"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1.信访举报投诉类申请</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2.重复申请</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3.要求提供公开出版物</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4.无正当理由大量反复申请</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5.要求行政机关确认或重新出具已获取信息</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341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（六）其他处理</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341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（七）总计</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7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四、结转下年度继续办理</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bl>
    <w:p>
      <w:pPr>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5"/>
        <w:tblW w:w="100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07"/>
        <w:gridCol w:w="707"/>
        <w:gridCol w:w="707"/>
        <w:gridCol w:w="566"/>
        <w:gridCol w:w="707"/>
        <w:gridCol w:w="706"/>
        <w:gridCol w:w="755"/>
        <w:gridCol w:w="659"/>
        <w:gridCol w:w="548"/>
        <w:gridCol w:w="725"/>
        <w:gridCol w:w="699"/>
        <w:gridCol w:w="714"/>
        <w:gridCol w:w="708"/>
        <w:gridCol w:w="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18" w:type="dxa"/>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rPr>
            </w:pPr>
            <w:r>
              <w:rPr>
                <w:rFonts w:hint="eastAsia" w:ascii="Calibri" w:hAnsi="Calibri" w:eastAsia="宋体" w:cs="Times New Roman"/>
                <w:color w:val="333333"/>
                <w:sz w:val="20"/>
                <w:szCs w:val="20"/>
              </w:rPr>
              <w:t>行政复议</w:t>
            </w:r>
          </w:p>
        </w:tc>
        <w:tc>
          <w:tcPr>
            <w:tcW w:w="6638" w:type="dxa"/>
            <w:gridSpan w:val="10"/>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rPr>
            </w:pPr>
            <w:r>
              <w:rPr>
                <w:rFonts w:hint="eastAsia" w:ascii="Calibri" w:hAnsi="Calibri" w:eastAsia="宋体" w:cs="Times New Roman"/>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731" w:type="dxa"/>
            <w:vMerge w:val="restart"/>
            <w:tcBorders>
              <w:top w:val="nil"/>
              <w:left w:val="single" w:color="auto" w:sz="4" w:space="0"/>
              <w:bottom w:val="single" w:color="auto" w:sz="4" w:space="0"/>
              <w:right w:val="single" w:color="auto" w:sz="4" w:space="0"/>
            </w:tcBorders>
            <w:vAlign w:val="center"/>
          </w:tcPr>
          <w:p>
            <w:pPr>
              <w:widowControl/>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结果</w:t>
            </w:r>
          </w:p>
          <w:p>
            <w:pPr>
              <w:widowControl/>
              <w:jc w:val="center"/>
              <w:rPr>
                <w:rFonts w:ascii="宋体" w:hAnsi="宋体" w:eastAsia="宋体" w:cs="宋体"/>
                <w:color w:val="333333"/>
                <w:kern w:val="0"/>
                <w:sz w:val="24"/>
              </w:rPr>
            </w:pPr>
            <w:r>
              <w:rPr>
                <w:rFonts w:hint="eastAsia" w:ascii="Calibri" w:hAnsi="Calibri" w:eastAsia="宋体" w:cs="Times New Roman"/>
                <w:color w:val="333333"/>
                <w:sz w:val="20"/>
                <w:szCs w:val="20"/>
              </w:rPr>
              <w:t>维持</w:t>
            </w:r>
          </w:p>
        </w:tc>
        <w:tc>
          <w:tcPr>
            <w:tcW w:w="707" w:type="dxa"/>
            <w:vMerge w:val="restart"/>
            <w:tcBorders>
              <w:top w:val="nil"/>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rPr>
            </w:pPr>
            <w:r>
              <w:rPr>
                <w:rFonts w:hint="eastAsia" w:ascii="Calibri" w:hAnsi="Calibri" w:eastAsia="宋体" w:cs="Times New Roman"/>
                <w:color w:val="333333"/>
                <w:sz w:val="20"/>
                <w:szCs w:val="20"/>
              </w:rPr>
              <w:t>结果纠正</w:t>
            </w:r>
          </w:p>
        </w:tc>
        <w:tc>
          <w:tcPr>
            <w:tcW w:w="707"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rPr>
            </w:pPr>
            <w:r>
              <w:rPr>
                <w:rFonts w:hint="eastAsia" w:ascii="Calibri" w:hAnsi="Calibri" w:eastAsia="宋体" w:cs="Times New Roman"/>
                <w:color w:val="333333"/>
                <w:sz w:val="20"/>
                <w:szCs w:val="20"/>
              </w:rPr>
              <w:t>其他结果</w:t>
            </w:r>
          </w:p>
        </w:tc>
        <w:tc>
          <w:tcPr>
            <w:tcW w:w="707"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rPr>
            </w:pPr>
            <w:r>
              <w:rPr>
                <w:rFonts w:hint="eastAsia" w:ascii="Calibri" w:hAnsi="Calibri" w:eastAsia="宋体" w:cs="Times New Roman"/>
                <w:color w:val="333333"/>
                <w:sz w:val="20"/>
                <w:szCs w:val="20"/>
              </w:rPr>
              <w:t>尚未审结</w:t>
            </w:r>
          </w:p>
        </w:tc>
        <w:tc>
          <w:tcPr>
            <w:tcW w:w="566"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rPr>
            </w:pPr>
            <w:r>
              <w:rPr>
                <w:rFonts w:hint="eastAsia" w:ascii="Calibri" w:hAnsi="Calibri" w:eastAsia="宋体" w:cs="Times New Roman"/>
                <w:color w:val="333333"/>
                <w:sz w:val="20"/>
                <w:szCs w:val="20"/>
              </w:rPr>
              <w:t>总计</w:t>
            </w:r>
          </w:p>
        </w:tc>
        <w:tc>
          <w:tcPr>
            <w:tcW w:w="337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rPr>
            </w:pPr>
            <w:r>
              <w:rPr>
                <w:rFonts w:hint="eastAsia" w:ascii="Calibri" w:hAnsi="Calibri" w:eastAsia="宋体" w:cs="Times New Roman"/>
                <w:color w:val="333333"/>
                <w:sz w:val="20"/>
                <w:szCs w:val="20"/>
              </w:rPr>
              <w:t>未经复议直接起诉</w:t>
            </w:r>
          </w:p>
        </w:tc>
        <w:tc>
          <w:tcPr>
            <w:tcW w:w="3263"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rPr>
            </w:pPr>
            <w:r>
              <w:rPr>
                <w:rFonts w:hint="eastAsia" w:ascii="Calibri" w:hAnsi="Calibri" w:eastAsia="宋体" w:cs="Times New Roman"/>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1" w:hRule="atLeast"/>
          <w:jc w:val="center"/>
        </w:trPr>
        <w:tc>
          <w:tcPr>
            <w:tcW w:w="7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rPr>
            </w:pPr>
          </w:p>
        </w:tc>
        <w:tc>
          <w:tcPr>
            <w:tcW w:w="707"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rPr>
            </w:pPr>
          </w:p>
        </w:tc>
        <w:tc>
          <w:tcPr>
            <w:tcW w:w="707"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rPr>
            </w:pPr>
          </w:p>
        </w:tc>
        <w:tc>
          <w:tcPr>
            <w:tcW w:w="707"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rPr>
            </w:pPr>
          </w:p>
        </w:tc>
        <w:tc>
          <w:tcPr>
            <w:tcW w:w="566"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rPr>
            </w:pPr>
          </w:p>
        </w:tc>
        <w:tc>
          <w:tcPr>
            <w:tcW w:w="7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rPr>
            </w:pPr>
            <w:r>
              <w:rPr>
                <w:rFonts w:hint="eastAsia" w:ascii="Calibri" w:hAnsi="Calibri" w:eastAsia="宋体" w:cs="Times New Roman"/>
                <w:color w:val="333333"/>
                <w:sz w:val="20"/>
                <w:szCs w:val="20"/>
              </w:rPr>
              <w:t>结果维持</w:t>
            </w:r>
          </w:p>
        </w:tc>
        <w:tc>
          <w:tcPr>
            <w:tcW w:w="70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rPr>
            </w:pPr>
            <w:r>
              <w:rPr>
                <w:rFonts w:hint="eastAsia" w:ascii="Calibri" w:hAnsi="Calibri" w:eastAsia="宋体" w:cs="Times New Roman"/>
                <w:color w:val="333333"/>
                <w:sz w:val="20"/>
                <w:szCs w:val="20"/>
              </w:rPr>
              <w:t>结果纠正</w:t>
            </w:r>
          </w:p>
        </w:tc>
        <w:tc>
          <w:tcPr>
            <w:tcW w:w="75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rPr>
            </w:pPr>
            <w:r>
              <w:rPr>
                <w:rFonts w:hint="eastAsia" w:ascii="Calibri" w:hAnsi="Calibri" w:eastAsia="宋体" w:cs="Times New Roman"/>
                <w:color w:val="333333"/>
                <w:sz w:val="20"/>
                <w:szCs w:val="20"/>
              </w:rPr>
              <w:t>其他结果</w:t>
            </w:r>
          </w:p>
        </w:tc>
        <w:tc>
          <w:tcPr>
            <w:tcW w:w="65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rPr>
            </w:pPr>
            <w:r>
              <w:rPr>
                <w:rFonts w:hint="eastAsia" w:ascii="Calibri" w:hAnsi="Calibri" w:eastAsia="宋体" w:cs="Times New Roman"/>
                <w:color w:val="333333"/>
                <w:sz w:val="20"/>
                <w:szCs w:val="20"/>
              </w:rPr>
              <w:t>尚未审结</w:t>
            </w:r>
          </w:p>
        </w:tc>
        <w:tc>
          <w:tcPr>
            <w:tcW w:w="54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rPr>
            </w:pPr>
            <w:r>
              <w:rPr>
                <w:rFonts w:hint="eastAsia" w:ascii="宋体" w:hAnsi="宋体" w:eastAsia="宋体" w:cs="宋体"/>
                <w:color w:val="000000"/>
                <w:kern w:val="0"/>
                <w:sz w:val="20"/>
                <w:szCs w:val="20"/>
              </w:rPr>
              <w:t>总计</w:t>
            </w:r>
          </w:p>
        </w:tc>
        <w:tc>
          <w:tcPr>
            <w:tcW w:w="7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rPr>
            </w:pPr>
            <w:r>
              <w:rPr>
                <w:rFonts w:hint="eastAsia" w:ascii="Calibri" w:hAnsi="Calibri" w:eastAsia="宋体" w:cs="Times New Roman"/>
                <w:color w:val="333333"/>
                <w:sz w:val="20"/>
                <w:szCs w:val="20"/>
              </w:rPr>
              <w:t>结果维持</w:t>
            </w:r>
          </w:p>
        </w:tc>
        <w:tc>
          <w:tcPr>
            <w:tcW w:w="69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rPr>
            </w:pPr>
            <w:r>
              <w:rPr>
                <w:rFonts w:hint="eastAsia" w:ascii="Calibri" w:hAnsi="Calibri" w:eastAsia="宋体" w:cs="Times New Roman"/>
                <w:color w:val="333333"/>
                <w:sz w:val="20"/>
                <w:szCs w:val="20"/>
              </w:rPr>
              <w:t>结果纠正</w:t>
            </w:r>
          </w:p>
        </w:tc>
        <w:tc>
          <w:tcPr>
            <w:tcW w:w="714"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rPr>
            </w:pPr>
            <w:r>
              <w:rPr>
                <w:rFonts w:hint="eastAsia" w:ascii="宋体" w:hAnsi="宋体" w:eastAsia="宋体" w:cs="宋体"/>
                <w:color w:val="000000"/>
                <w:kern w:val="0"/>
                <w:sz w:val="20"/>
                <w:szCs w:val="20"/>
              </w:rPr>
              <w:t>其他结果</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rPr>
            </w:pPr>
            <w:r>
              <w:rPr>
                <w:rFonts w:hint="eastAsia" w:ascii="Calibri" w:hAnsi="Calibri" w:eastAsia="宋体" w:cs="Times New Roman"/>
                <w:color w:val="333333"/>
                <w:sz w:val="20"/>
                <w:szCs w:val="20"/>
              </w:rPr>
              <w:t>尚未审结</w:t>
            </w:r>
          </w:p>
        </w:tc>
        <w:tc>
          <w:tcPr>
            <w:tcW w:w="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rPr>
            </w:pPr>
            <w:r>
              <w:rPr>
                <w:rFonts w:hint="eastAsia" w:ascii="宋体" w:hAnsi="宋体" w:eastAsia="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2"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rPr>
            </w:pPr>
            <w:r>
              <w:rPr>
                <w:rFonts w:hint="eastAsia" w:ascii="Calibri" w:hAnsi="Calibri" w:eastAsia="宋体" w:cs="Times New Roman"/>
                <w:color w:val="333333"/>
                <w:sz w:val="24"/>
              </w:rPr>
              <w:t>0</w:t>
            </w:r>
          </w:p>
        </w:tc>
        <w:tc>
          <w:tcPr>
            <w:tcW w:w="70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rPr>
            </w:pPr>
            <w:r>
              <w:rPr>
                <w:rFonts w:hint="eastAsia" w:ascii="Calibri" w:hAnsi="Calibri" w:eastAsia="宋体" w:cs="Times New Roman"/>
                <w:color w:val="333333"/>
                <w:sz w:val="24"/>
              </w:rPr>
              <w:t>0</w:t>
            </w:r>
          </w:p>
        </w:tc>
        <w:tc>
          <w:tcPr>
            <w:tcW w:w="70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rPr>
            </w:pPr>
            <w:r>
              <w:rPr>
                <w:rFonts w:hint="eastAsia" w:ascii="Calibri" w:hAnsi="Calibri" w:eastAsia="宋体" w:cs="Times New Roman"/>
                <w:color w:val="333333"/>
                <w:sz w:val="24"/>
              </w:rPr>
              <w:t>0</w:t>
            </w:r>
          </w:p>
        </w:tc>
        <w:tc>
          <w:tcPr>
            <w:tcW w:w="70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rPr>
            </w:pPr>
            <w:r>
              <w:rPr>
                <w:rFonts w:hint="eastAsia" w:ascii="Calibri" w:hAnsi="Calibri" w:eastAsia="宋体" w:cs="Times New Roman"/>
                <w:color w:val="333333"/>
                <w:sz w:val="24"/>
              </w:rPr>
              <w:t>0</w:t>
            </w:r>
          </w:p>
        </w:tc>
        <w:tc>
          <w:tcPr>
            <w:tcW w:w="566"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rPr>
            </w:pPr>
            <w:r>
              <w:rPr>
                <w:rFonts w:hint="eastAsia" w:ascii="Calibri" w:hAnsi="Calibri" w:eastAsia="宋体" w:cs="Times New Roman"/>
                <w:color w:val="333333"/>
                <w:sz w:val="24"/>
              </w:rPr>
              <w:t>0</w:t>
            </w:r>
          </w:p>
        </w:tc>
        <w:tc>
          <w:tcPr>
            <w:tcW w:w="70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rPr>
            </w:pPr>
            <w:r>
              <w:rPr>
                <w:rFonts w:hint="eastAsia" w:ascii="Calibri" w:hAnsi="Calibri" w:eastAsia="宋体" w:cs="Times New Roman"/>
                <w:color w:val="333333"/>
                <w:sz w:val="24"/>
              </w:rPr>
              <w:t>0</w:t>
            </w:r>
          </w:p>
        </w:tc>
        <w:tc>
          <w:tcPr>
            <w:tcW w:w="706"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rPr>
            </w:pPr>
            <w:r>
              <w:rPr>
                <w:rFonts w:hint="eastAsia" w:ascii="Calibri" w:hAnsi="Calibri" w:eastAsia="宋体" w:cs="Times New Roman"/>
                <w:color w:val="333333"/>
                <w:sz w:val="24"/>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rPr>
            </w:pPr>
            <w:r>
              <w:rPr>
                <w:rFonts w:hint="eastAsia" w:ascii="Calibri" w:hAnsi="Calibri" w:eastAsia="宋体" w:cs="Times New Roman"/>
                <w:color w:val="333333"/>
                <w:sz w:val="24"/>
              </w:rPr>
              <w:t>0</w:t>
            </w:r>
          </w:p>
        </w:tc>
        <w:tc>
          <w:tcPr>
            <w:tcW w:w="65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rPr>
            </w:pPr>
            <w:r>
              <w:rPr>
                <w:rFonts w:hint="eastAsia" w:ascii="Calibri" w:hAnsi="Calibri" w:eastAsia="宋体" w:cs="Times New Roman"/>
                <w:color w:val="333333"/>
                <w:sz w:val="24"/>
              </w:rPr>
              <w:t>0</w:t>
            </w:r>
          </w:p>
        </w:tc>
        <w:tc>
          <w:tcPr>
            <w:tcW w:w="548"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rPr>
            </w:pPr>
            <w:r>
              <w:rPr>
                <w:rFonts w:hint="eastAsia" w:ascii="宋体" w:hAnsi="宋体" w:eastAsia="宋体" w:cs="宋体"/>
                <w:color w:val="000000"/>
                <w:kern w:val="0"/>
                <w:sz w:val="24"/>
              </w:rPr>
              <w:t>0</w:t>
            </w:r>
          </w:p>
        </w:tc>
        <w:tc>
          <w:tcPr>
            <w:tcW w:w="725"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rPr>
            </w:pPr>
            <w:r>
              <w:rPr>
                <w:rFonts w:hint="eastAsia" w:ascii="Calibri" w:hAnsi="Calibri" w:eastAsia="宋体" w:cs="Times New Roman"/>
                <w:color w:val="333333"/>
                <w:sz w:val="24"/>
              </w:rPr>
              <w:t>0</w:t>
            </w:r>
          </w:p>
        </w:tc>
        <w:tc>
          <w:tcPr>
            <w:tcW w:w="69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rPr>
            </w:pPr>
            <w:r>
              <w:rPr>
                <w:rFonts w:hint="eastAsia" w:ascii="Calibri" w:hAnsi="Calibri" w:eastAsia="宋体" w:cs="Times New Roman"/>
                <w:color w:val="333333"/>
                <w:sz w:val="24"/>
              </w:rPr>
              <w:t>0</w:t>
            </w:r>
          </w:p>
        </w:tc>
        <w:tc>
          <w:tcPr>
            <w:tcW w:w="714"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rPr>
            </w:pPr>
            <w:r>
              <w:rPr>
                <w:rFonts w:hint="eastAsia" w:ascii="宋体" w:hAnsi="宋体" w:eastAsia="宋体" w:cs="宋体"/>
                <w:color w:val="000000"/>
                <w:kern w:val="0"/>
                <w:sz w:val="24"/>
              </w:rPr>
              <w:t>0</w:t>
            </w:r>
          </w:p>
        </w:tc>
        <w:tc>
          <w:tcPr>
            <w:tcW w:w="708"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rPr>
            </w:pPr>
            <w:r>
              <w:rPr>
                <w:rFonts w:hint="eastAsia" w:ascii="Calibri" w:hAnsi="Calibri" w:eastAsia="宋体" w:cs="Times New Roman"/>
                <w:color w:val="333333"/>
                <w:sz w:val="24"/>
              </w:rPr>
              <w:t>0</w:t>
            </w:r>
          </w:p>
        </w:tc>
        <w:tc>
          <w:tcPr>
            <w:tcW w:w="417" w:type="dxa"/>
            <w:tcBorders>
              <w:top w:val="single" w:color="auto" w:sz="4" w:space="0"/>
              <w:left w:val="nil"/>
              <w:bottom w:val="single" w:color="auto" w:sz="4" w:space="0"/>
              <w:right w:val="single" w:color="auto" w:sz="4" w:space="0"/>
            </w:tcBorders>
            <w:vAlign w:val="center"/>
          </w:tcPr>
          <w:p>
            <w:pPr>
              <w:widowControl/>
              <w:spacing w:line="480" w:lineRule="auto"/>
              <w:jc w:val="center"/>
              <w:rPr>
                <w:rFonts w:ascii="宋体" w:hAnsi="宋体" w:eastAsia="宋体" w:cs="宋体"/>
                <w:color w:val="333333"/>
                <w:kern w:val="0"/>
                <w:sz w:val="24"/>
              </w:rPr>
            </w:pPr>
            <w:r>
              <w:rPr>
                <w:rFonts w:hint="eastAsia" w:ascii="宋体" w:hAnsi="宋体" w:eastAsia="宋体" w:cs="宋体"/>
                <w:color w:val="333333"/>
                <w:kern w:val="0"/>
                <w:sz w:val="24"/>
              </w:rPr>
              <w:t>0</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80" w:lineRule="exact"/>
        <w:textAlignment w:val="auto"/>
        <w:outlineLvl w:val="9"/>
        <w:rPr>
          <w:rFonts w:hint="eastAsia" w:ascii="黑体" w:hAnsi="黑体" w:eastAsia="黑体" w:cs="黑体"/>
          <w:sz w:val="32"/>
          <w:szCs w:val="32"/>
        </w:rPr>
      </w:pPr>
      <w:r>
        <w:rPr>
          <w:rFonts w:hint="eastAsia" w:ascii="黑体" w:hAnsi="黑体" w:eastAsia="黑体" w:cs="黑体"/>
          <w:sz w:val="32"/>
          <w:szCs w:val="32"/>
        </w:rPr>
        <w:t>存在的主要问题及改进情况</w:t>
      </w:r>
    </w:p>
    <w:p>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田镇街道信息公开工作虽然取得了一定的成效，但与建设法治政府的新要求、人民群众的新期待，还存在一些差距。主要表现为：一方面，政务公开的广度还需进一步拓展。信息公开还不够全面、及时、准确，政府信息公开目录不够规范，不便于公众查询信息。另一方面，政务公开的深度还需进一步延伸。政策解读形式单一、解读质量不高，政务新媒体互动性不强，与民众沟通有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田镇街道政务公开将重点围绕以下两方面开展工作：一是坚持全面真实、及时便民的原则。严格按照法律法规和有关政策规定，对各类行政管理和公共服务事项，除涉及国家秘密和依法受到保护的商业秘密、个人隐私之外，都要如实公开。按照规定制度和程序，对应该公开的事项，采用方便、快捷的方式及时公开。二是坚持突出重点、整体推进的原则。加大政策解读力度，落实国家、省、市关于做好政策解读回应的相关规定，运用数字、图表、图解等方式，增强政策解读的易读性、生动性。充分利用网络、电视、广播、报刊等媒体，提高微博、微信互动率，同步发展促进，切实做好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本报告所列数据可能因四舍五入原因与数据直接相加之和存在尾数差异。</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高青县田镇街道办事处</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2020年1月15日</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80A122"/>
    <w:multiLevelType w:val="singleLevel"/>
    <w:tmpl w:val="6A80A12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C51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hyperlink" Target="http://www.zibo.gov.cn/jcms/jcms_files/jcms1/web58/site/picture/0/629de8733d0841efbdca1a95a8a45d2c.pn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2021-01-29T07:00:14Z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