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heme="majorEastAsia" w:hAnsiTheme="majorEastAsia" w:eastAsiaTheme="majorEastAsia"/>
          <w:b/>
          <w:sz w:val="44"/>
          <w:szCs w:val="44"/>
        </w:rPr>
      </w:pPr>
    </w:p>
    <w:p>
      <w:pPr>
        <w:spacing w:line="560" w:lineRule="exact"/>
        <w:jc w:val="center"/>
        <w:rPr>
          <w:rFonts w:asciiTheme="majorEastAsia" w:hAnsiTheme="majorEastAsia" w:eastAsiaTheme="majorEastAsia"/>
          <w:b/>
          <w:sz w:val="44"/>
          <w:szCs w:val="44"/>
        </w:rPr>
      </w:pPr>
    </w:p>
    <w:p>
      <w:pPr>
        <w:spacing w:line="560" w:lineRule="exact"/>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高青县文化和旅游局2020年政府信息公开工作年度报告</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本报告根据《中华人民共和国政府信息公开条例》（国务院令第711号，以下简称《条例》）要求，由高青县文化和旅游局办公室综合本单位政府信息公开工作情况编制。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报告全文由总体情况、主动公开政府信息情况、收到和处理政府信息公开申请情况、政府信息公开行政复议行政诉讼情况、存在的主要问题及改进情况、其他需要报告的事项6部分组成。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报告中所列数据统计期限自2020年1月1日始，至2020年12月31日止。报告电子版可在高青县人民政府门户网站（www.gaoqing.gov.cn）查阅和下载。如对报告内容有疑问，请与高青县文化和旅游局办公室联系（地址：高青县城青城路47号；邮编：256300；电话：0533-6967181；传真：0533-6967181）。</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一、总体情况</w:t>
      </w:r>
    </w:p>
    <w:p>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（一）体制机制建设</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1.加强组织领导。根据人事变动，及时调整政府信息公开工作领导小组，领导小组下设办公室，由办公室负责具体工作，并设有一名政务公开专职人员负责政务公开日常工作。</w:t>
      </w:r>
    </w:p>
    <w:p>
      <w:pPr>
        <w:rPr>
          <w:rFonts w:ascii="仿宋_GB2312" w:eastAsia="仿宋_GB2312"/>
          <w:sz w:val="32"/>
          <w:szCs w:val="32"/>
        </w:rPr>
      </w:pPr>
      <w:r>
        <w:rPr>
          <w:rFonts w:ascii="仿宋_GB2312" w:eastAsia="仿宋_GB2312"/>
          <w:sz w:val="32"/>
          <w:szCs w:val="32"/>
        </w:rPr>
        <w:drawing>
          <wp:inline distT="0" distB="0" distL="0" distR="0">
            <wp:extent cx="5274310" cy="317246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3172460"/>
                    </a:xfrm>
                    <a:prstGeom prst="rect">
                      <a:avLst/>
                    </a:prstGeom>
                  </pic:spPr>
                </pic:pic>
              </a:graphicData>
            </a:graphic>
          </wp:inline>
        </w:drawing>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2.加强制度建设。</w:t>
      </w:r>
      <w:r>
        <w:rPr>
          <w:rFonts w:hint="eastAsia" w:ascii="仿宋_GB2312" w:eastAsia="仿宋_GB2312"/>
          <w:color w:val="000000" w:themeColor="text1"/>
          <w:sz w:val="32"/>
          <w:szCs w:val="32"/>
          <w14:textFill>
            <w14:solidFill>
              <w14:schemeClr w14:val="tx1"/>
            </w14:solidFill>
          </w14:textFill>
        </w:rPr>
        <w:t>2020年，高青县文化和旅游局继续深入贯彻落实党中央、国务院关于全面推进政务公开工作的决策部署和《中华人民共和国政府信息公开条例》（以下简称《条例》），认真落实《国务院办公厅关于印发2020年政务公开工作要点的通知》（国办发〔2020〕17号）、《山东省人民政府办公厅关于印发2020年山东省政务公开工作要点的通知》（鲁政办发〔2020〕78号）和《淄博市人民政府办公室关于印发2020年淄博市政务公开工作方案的通知》（淄政办发〔2020〕67号）部署的各项任务</w:t>
      </w:r>
      <w:r>
        <w:rPr>
          <w:rFonts w:hint="eastAsia" w:ascii="仿宋_GB2312" w:eastAsia="仿宋_GB2312"/>
          <w:sz w:val="32"/>
          <w:szCs w:val="32"/>
        </w:rPr>
        <w:t>，紧紧围绕县委、县政府中心工作及群众关注关切，坚持“以公开为常态、不公开为例外”的原则，深化文旅重点领域信息公开，加大主动公开力度，研究制定了《公共文化服务领域基层政务公开标准目录》《高青县文化和旅游局政务公开事项标准目录》《高青县文化和旅游局2020年政务公开工作实施方案》《高青县文化和旅游局2020年政务公开工作培训计划》等文件。</w:t>
      </w:r>
    </w:p>
    <w:p>
      <w:pPr>
        <w:rPr>
          <w:rFonts w:ascii="仿宋_GB2312" w:eastAsia="仿宋_GB2312"/>
          <w:sz w:val="32"/>
          <w:szCs w:val="32"/>
        </w:rPr>
      </w:pPr>
      <w:r>
        <w:rPr>
          <w:rFonts w:hint="eastAsia" w:ascii="仿宋_GB2312" w:eastAsia="仿宋_GB2312"/>
          <w:sz w:val="32"/>
          <w:szCs w:val="32"/>
        </w:rPr>
        <w:drawing>
          <wp:inline distT="0" distB="0" distL="114300" distR="114300">
            <wp:extent cx="5273040" cy="2772410"/>
            <wp:effectExtent l="0" t="0" r="3810" b="8890"/>
            <wp:docPr id="1" name="图片 1" descr="公共文化服务领域标准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共文化服务领域标准目录"/>
                    <pic:cNvPicPr>
                      <a:picLocks noChangeAspect="1"/>
                    </pic:cNvPicPr>
                  </pic:nvPicPr>
                  <pic:blipFill>
                    <a:blip r:embed="rId5"/>
                    <a:stretch>
                      <a:fillRect/>
                    </a:stretch>
                  </pic:blipFill>
                  <pic:spPr>
                    <a:xfrm>
                      <a:off x="0" y="0"/>
                      <a:ext cx="5273040" cy="2772410"/>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drawing>
          <wp:inline distT="0" distB="0" distL="114300" distR="114300">
            <wp:extent cx="5271135" cy="2730500"/>
            <wp:effectExtent l="0" t="0" r="5715" b="12700"/>
            <wp:docPr id="5" name="图片 5" descr="参考模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参考模版1"/>
                    <pic:cNvPicPr>
                      <a:picLocks noChangeAspect="1"/>
                    </pic:cNvPicPr>
                  </pic:nvPicPr>
                  <pic:blipFill>
                    <a:blip r:embed="rId6"/>
                    <a:stretch>
                      <a:fillRect/>
                    </a:stretch>
                  </pic:blipFill>
                  <pic:spPr>
                    <a:xfrm>
                      <a:off x="0" y="0"/>
                      <a:ext cx="5271135" cy="2730500"/>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drawing>
          <wp:inline distT="0" distB="0" distL="114300" distR="114300">
            <wp:extent cx="5274310" cy="3371850"/>
            <wp:effectExtent l="0" t="0" r="2540" b="0"/>
            <wp:docPr id="4" name="图片 4" descr="政务公开培训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政务公开培训计划"/>
                    <pic:cNvPicPr>
                      <a:picLocks noChangeAspect="1"/>
                    </pic:cNvPicPr>
                  </pic:nvPicPr>
                  <pic:blipFill>
                    <a:blip r:embed="rId7"/>
                    <a:stretch>
                      <a:fillRect/>
                    </a:stretch>
                  </pic:blipFill>
                  <pic:spPr>
                    <a:xfrm>
                      <a:off x="0" y="0"/>
                      <a:ext cx="5274310" cy="3371850"/>
                    </a:xfrm>
                    <a:prstGeom prst="rect">
                      <a:avLst/>
                    </a:prstGeom>
                  </pic:spPr>
                </pic:pic>
              </a:graphicData>
            </a:graphic>
          </wp:inline>
        </w:drawing>
      </w:r>
    </w:p>
    <w:p>
      <w:pPr>
        <w:jc w:val="center"/>
        <w:rPr>
          <w:rFonts w:ascii="仿宋_GB2312" w:eastAsia="仿宋_GB2312"/>
          <w:sz w:val="32"/>
          <w:szCs w:val="32"/>
        </w:rPr>
      </w:pPr>
      <w:r>
        <w:rPr>
          <w:rFonts w:hint="eastAsia" w:ascii="仿宋_GB2312" w:eastAsia="仿宋_GB2312"/>
          <w:sz w:val="32"/>
          <w:szCs w:val="32"/>
        </w:rPr>
        <w:drawing>
          <wp:inline distT="0" distB="0" distL="114300" distR="114300">
            <wp:extent cx="2533650" cy="3315335"/>
            <wp:effectExtent l="0" t="0" r="0" b="18415"/>
            <wp:docPr id="3" name="图片 3" descr="实施方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实施方案1"/>
                    <pic:cNvPicPr>
                      <a:picLocks noChangeAspect="1"/>
                    </pic:cNvPicPr>
                  </pic:nvPicPr>
                  <pic:blipFill>
                    <a:blip r:embed="rId8"/>
                    <a:stretch>
                      <a:fillRect/>
                    </a:stretch>
                  </pic:blipFill>
                  <pic:spPr>
                    <a:xfrm>
                      <a:off x="0" y="0"/>
                      <a:ext cx="2533650" cy="3315335"/>
                    </a:xfrm>
                    <a:prstGeom prst="rect">
                      <a:avLst/>
                    </a:prstGeom>
                  </pic:spPr>
                </pic:pic>
              </a:graphicData>
            </a:graphic>
          </wp:inline>
        </w:drawing>
      </w:r>
    </w:p>
    <w:p>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（二）主动公开</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一是增加主动公开内容。根据高青县政府办公室统一部署，研究制定《高青县文化和旅游局政务公开事项标准目录》，明确七大类20项公开事项。</w:t>
      </w:r>
      <w:r>
        <w:rPr>
          <w:rFonts w:hint="eastAsia" w:ascii="仿宋_GB2312" w:eastAsia="仿宋_GB2312"/>
          <w:color w:val="000000" w:themeColor="text1"/>
          <w:sz w:val="32"/>
          <w:szCs w:val="32"/>
          <w14:textFill>
            <w14:solidFill>
              <w14:schemeClr w14:val="tx1"/>
            </w14:solidFill>
          </w14:textFill>
        </w:rPr>
        <w:t>根据高青县文旅局机构调整情况，及时通过高青县政务公开网站</w:t>
      </w:r>
      <w:r>
        <w:rPr>
          <w:rFonts w:hint="eastAsia" w:ascii="仿宋_GB2312" w:eastAsia="仿宋_GB2312"/>
          <w:sz w:val="32"/>
          <w:szCs w:val="32"/>
        </w:rPr>
        <w:t>公开调整后的机构职能、领导班子调整等情况。在“高青县人民政府网”门户网站设“公共文化体育”栏目，专门公开公共文化服务等事项。2020年主动更新了</w:t>
      </w:r>
      <w:r>
        <w:rPr>
          <w:rFonts w:ascii="仿宋_GB2312" w:eastAsia="仿宋_GB2312"/>
          <w:sz w:val="32"/>
          <w:szCs w:val="32"/>
        </w:rPr>
        <w:t>公共文化基本信息、</w:t>
      </w:r>
      <w:r>
        <w:rPr>
          <w:rFonts w:hint="eastAsia" w:ascii="仿宋_GB2312" w:eastAsia="仿宋_GB2312"/>
          <w:sz w:val="32"/>
          <w:szCs w:val="32"/>
        </w:rPr>
        <w:t>名录</w:t>
      </w:r>
      <w:r>
        <w:rPr>
          <w:rFonts w:ascii="仿宋_GB2312" w:eastAsia="仿宋_GB2312"/>
          <w:sz w:val="32"/>
          <w:szCs w:val="32"/>
        </w:rPr>
        <w:t>信息、活动信息</w:t>
      </w:r>
      <w:r>
        <w:rPr>
          <w:rFonts w:hint="eastAsia" w:ascii="仿宋_GB2312" w:eastAsia="仿宋_GB2312"/>
          <w:sz w:val="32"/>
          <w:szCs w:val="32"/>
        </w:rPr>
        <w:t>，发布了【服务体系建设】2020年高青县实施文化惠民行动提升文化生活满意度方案1条</w:t>
      </w:r>
      <w:r>
        <w:rPr>
          <w:rFonts w:ascii="仿宋_GB2312" w:eastAsia="仿宋_GB2312"/>
          <w:sz w:val="32"/>
          <w:szCs w:val="32"/>
        </w:rPr>
        <w:t>、</w:t>
      </w:r>
      <w:r>
        <w:rPr>
          <w:rFonts w:hint="eastAsia" w:ascii="仿宋_GB2312" w:eastAsia="仿宋_GB2312"/>
          <w:sz w:val="32"/>
          <w:szCs w:val="32"/>
        </w:rPr>
        <w:t>公共</w:t>
      </w:r>
      <w:r>
        <w:rPr>
          <w:rFonts w:ascii="仿宋_GB2312" w:eastAsia="仿宋_GB2312"/>
          <w:sz w:val="32"/>
          <w:szCs w:val="32"/>
        </w:rPr>
        <w:t>文化设施名录</w:t>
      </w:r>
      <w:r>
        <w:rPr>
          <w:rFonts w:hint="eastAsia" w:ascii="仿宋_GB2312" w:eastAsia="仿宋_GB2312"/>
          <w:sz w:val="32"/>
          <w:szCs w:val="32"/>
        </w:rPr>
        <w:t>13条</w:t>
      </w:r>
      <w:r>
        <w:rPr>
          <w:rFonts w:ascii="仿宋_GB2312" w:eastAsia="仿宋_GB2312"/>
          <w:sz w:val="32"/>
          <w:szCs w:val="32"/>
        </w:rPr>
        <w:t>、</w:t>
      </w:r>
      <w:r>
        <w:rPr>
          <w:rFonts w:hint="eastAsia" w:ascii="仿宋_GB2312" w:eastAsia="仿宋_GB2312"/>
          <w:sz w:val="32"/>
          <w:szCs w:val="32"/>
        </w:rPr>
        <w:t>文化</w:t>
      </w:r>
      <w:r>
        <w:rPr>
          <w:rFonts w:ascii="仿宋_GB2312" w:eastAsia="仿宋_GB2312"/>
          <w:sz w:val="32"/>
          <w:szCs w:val="32"/>
        </w:rPr>
        <w:t>遗产保护名单</w:t>
      </w:r>
      <w:r>
        <w:rPr>
          <w:rFonts w:hint="eastAsia" w:ascii="仿宋_GB2312" w:eastAsia="仿宋_GB2312"/>
          <w:sz w:val="32"/>
          <w:szCs w:val="32"/>
        </w:rPr>
        <w:t>2条</w:t>
      </w:r>
      <w:r>
        <w:rPr>
          <w:rFonts w:ascii="仿宋_GB2312" w:eastAsia="仿宋_GB2312"/>
          <w:sz w:val="32"/>
          <w:szCs w:val="32"/>
        </w:rPr>
        <w:t>、</w:t>
      </w:r>
      <w:r>
        <w:rPr>
          <w:rFonts w:hint="eastAsia" w:ascii="仿宋_GB2312" w:eastAsia="仿宋_GB2312"/>
          <w:sz w:val="32"/>
          <w:szCs w:val="32"/>
        </w:rPr>
        <w:t>公益性</w:t>
      </w:r>
      <w:r>
        <w:rPr>
          <w:rFonts w:ascii="仿宋_GB2312" w:eastAsia="仿宋_GB2312"/>
          <w:sz w:val="32"/>
          <w:szCs w:val="32"/>
        </w:rPr>
        <w:t>文化服务活动</w:t>
      </w:r>
      <w:r>
        <w:rPr>
          <w:rFonts w:hint="eastAsia" w:ascii="仿宋_GB2312" w:eastAsia="仿宋_GB2312"/>
          <w:sz w:val="32"/>
          <w:szCs w:val="32"/>
        </w:rPr>
        <w:t>9条</w:t>
      </w:r>
      <w:r>
        <w:rPr>
          <w:rFonts w:ascii="仿宋_GB2312" w:eastAsia="仿宋_GB2312"/>
          <w:sz w:val="32"/>
          <w:szCs w:val="32"/>
        </w:rPr>
        <w:t>、</w:t>
      </w:r>
      <w:r>
        <w:rPr>
          <w:rFonts w:hint="eastAsia" w:ascii="仿宋_GB2312" w:eastAsia="仿宋_GB2312"/>
          <w:sz w:val="32"/>
          <w:szCs w:val="32"/>
        </w:rPr>
        <w:t>受捐</w:t>
      </w:r>
      <w:r>
        <w:rPr>
          <w:rFonts w:ascii="仿宋_GB2312" w:eastAsia="仿宋_GB2312"/>
          <w:sz w:val="32"/>
          <w:szCs w:val="32"/>
        </w:rPr>
        <w:t>款物使用信息</w:t>
      </w:r>
      <w:r>
        <w:rPr>
          <w:rFonts w:hint="eastAsia" w:ascii="仿宋_GB2312" w:eastAsia="仿宋_GB2312"/>
          <w:sz w:val="32"/>
          <w:szCs w:val="32"/>
        </w:rPr>
        <w:t>1条</w:t>
      </w:r>
      <w:r>
        <w:rPr>
          <w:rFonts w:ascii="仿宋_GB2312" w:eastAsia="仿宋_GB2312"/>
          <w:sz w:val="32"/>
          <w:szCs w:val="32"/>
        </w:rPr>
        <w:t>。</w:t>
      </w:r>
    </w:p>
    <w:p>
      <w:pPr>
        <w:pStyle w:val="6"/>
        <w:spacing w:before="0" w:beforeAutospacing="0" w:after="0" w:afterAutospacing="0" w:line="540" w:lineRule="atLeast"/>
        <w:jc w:val="both"/>
        <w:rPr>
          <w:rFonts w:ascii="仿宋_GB2312" w:eastAsia="仿宋_GB2312" w:hAnsiTheme="minorHAnsi" w:cstheme="minorBidi"/>
          <w:kern w:val="2"/>
          <w:sz w:val="32"/>
          <w:szCs w:val="32"/>
        </w:rPr>
      </w:pPr>
      <w:r>
        <w:rPr>
          <w:rFonts w:hint="eastAsia" w:ascii="微软雅黑" w:hAnsi="微软雅黑" w:eastAsia="微软雅黑" w:cs="微软雅黑"/>
          <w:color w:val="333333"/>
          <w:shd w:val="clear" w:color="auto" w:fill="FFFFFF"/>
        </w:rPr>
        <w:drawing>
          <wp:inline distT="0" distB="0" distL="114300" distR="114300">
            <wp:extent cx="5268595" cy="2431415"/>
            <wp:effectExtent l="0" t="0" r="8255" b="6985"/>
            <wp:docPr id="6" name="图片 6" descr="机构职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机构职能"/>
                    <pic:cNvPicPr>
                      <a:picLocks noChangeAspect="1"/>
                    </pic:cNvPicPr>
                  </pic:nvPicPr>
                  <pic:blipFill>
                    <a:blip r:embed="rId9"/>
                    <a:stretch>
                      <a:fillRect/>
                    </a:stretch>
                  </pic:blipFill>
                  <pic:spPr>
                    <a:xfrm>
                      <a:off x="0" y="0"/>
                      <a:ext cx="5268595" cy="2431415"/>
                    </a:xfrm>
                    <a:prstGeom prst="rect">
                      <a:avLst/>
                    </a:prstGeom>
                  </pic:spPr>
                </pic:pic>
              </a:graphicData>
            </a:graphic>
          </wp:inline>
        </w:drawing>
      </w:r>
    </w:p>
    <w:p>
      <w:pPr>
        <w:pStyle w:val="6"/>
        <w:spacing w:before="0" w:beforeAutospacing="0" w:after="0" w:afterAutospacing="0" w:line="540" w:lineRule="atLeast"/>
        <w:jc w:val="both"/>
        <w:rPr>
          <w:rFonts w:ascii="微软雅黑" w:hAnsi="微软雅黑" w:eastAsia="微软雅黑" w:cs="微软雅黑"/>
          <w:color w:val="333333"/>
          <w:shd w:val="clear" w:color="auto" w:fill="FFFFFF"/>
        </w:rPr>
      </w:pPr>
      <w:r>
        <w:rPr>
          <w:rFonts w:hint="eastAsia" w:ascii="仿宋_GB2312" w:eastAsia="仿宋_GB2312" w:hAnsiTheme="minorHAnsi" w:cstheme="minorBidi"/>
          <w:kern w:val="2"/>
          <w:sz w:val="32"/>
          <w:szCs w:val="32"/>
        </w:rPr>
        <w:drawing>
          <wp:inline distT="0" distB="0" distL="0" distR="0">
            <wp:extent cx="5274310" cy="30861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086100"/>
                    </a:xfrm>
                    <a:prstGeom prst="rect">
                      <a:avLst/>
                    </a:prstGeom>
                  </pic:spPr>
                </pic:pic>
              </a:graphicData>
            </a:graphic>
          </wp:inline>
        </w:drawing>
      </w:r>
      <w:r>
        <w:rPr>
          <w:rFonts w:hint="eastAsia" w:ascii="仿宋_GB2312" w:eastAsia="仿宋_GB2312" w:hAnsiTheme="minorHAnsi" w:cstheme="minorBidi"/>
          <w:kern w:val="2"/>
          <w:sz w:val="32"/>
          <w:szCs w:val="32"/>
        </w:rPr>
        <w:t>二是做好建议提案办理结果公开。在高青县政务网设立“建议提案办理”栏目，对于7件涉及公共利益、公众权益、社会关切及需要广泛知晓的全国人大代表建议和全国政协委员提案办理复文，全文予以公开。</w:t>
      </w:r>
    </w:p>
    <w:p>
      <w:pPr>
        <w:pStyle w:val="6"/>
        <w:spacing w:before="0" w:beforeAutospacing="0" w:after="0" w:afterAutospacing="0" w:line="540" w:lineRule="atLeast"/>
        <w:jc w:val="both"/>
        <w:rPr>
          <w:rFonts w:ascii="仿宋_GB2312" w:eastAsia="仿宋_GB2312"/>
          <w:sz w:val="32"/>
          <w:szCs w:val="32"/>
        </w:rPr>
      </w:pPr>
      <w:r>
        <w:drawing>
          <wp:inline distT="0" distB="0" distL="114300" distR="114300">
            <wp:extent cx="5262880" cy="1892935"/>
            <wp:effectExtent l="0" t="0" r="13970"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62880" cy="1892935"/>
                    </a:xfrm>
                    <a:prstGeom prst="rect">
                      <a:avLst/>
                    </a:prstGeom>
                    <a:noFill/>
                    <a:ln>
                      <a:noFill/>
                    </a:ln>
                  </pic:spPr>
                </pic:pic>
              </a:graphicData>
            </a:graphic>
          </wp:inline>
        </w:drawing>
      </w:r>
    </w:p>
    <w:p>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（三）依申请公开</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1.收到和处理政府信息公开申请情况</w:t>
      </w:r>
    </w:p>
    <w:p>
      <w:pPr>
        <w:spacing w:line="560" w:lineRule="exact"/>
        <w:ind w:firstLine="620" w:firstLineChars="200"/>
        <w:rPr>
          <w:rFonts w:ascii="仿宋_GB2312" w:hAnsi="宋体" w:eastAsia="仿宋_GB2312" w:cs="仿宋_GB2312"/>
          <w:color w:val="3D3D3D"/>
          <w:sz w:val="31"/>
          <w:szCs w:val="31"/>
          <w:shd w:val="clear" w:color="auto" w:fill="FFFFFF"/>
        </w:rPr>
      </w:pPr>
      <w:r>
        <w:rPr>
          <w:rFonts w:hint="eastAsia" w:ascii="仿宋_GB2312" w:hAnsi="宋体" w:eastAsia="仿宋_GB2312" w:cs="仿宋_GB2312"/>
          <w:color w:val="3D3D3D"/>
          <w:sz w:val="31"/>
          <w:szCs w:val="31"/>
          <w:shd w:val="clear" w:color="auto" w:fill="FFFFFF"/>
        </w:rPr>
        <w:t>2020</w:t>
      </w:r>
      <w:r>
        <w:rPr>
          <w:rFonts w:ascii="仿宋_GB2312" w:hAnsi="宋体" w:eastAsia="仿宋_GB2312" w:cs="仿宋_GB2312"/>
          <w:color w:val="3D3D3D"/>
          <w:sz w:val="31"/>
          <w:szCs w:val="31"/>
          <w:shd w:val="clear" w:color="auto" w:fill="FFFFFF"/>
        </w:rPr>
        <w:t>年度，</w:t>
      </w:r>
      <w:r>
        <w:rPr>
          <w:rFonts w:hint="eastAsia" w:ascii="仿宋_GB2312" w:hAnsi="宋体" w:eastAsia="仿宋_GB2312" w:cs="仿宋_GB2312"/>
          <w:color w:val="3D3D3D"/>
          <w:sz w:val="31"/>
          <w:szCs w:val="31"/>
          <w:shd w:val="clear" w:color="auto" w:fill="FFFFFF"/>
        </w:rPr>
        <w:t>我</w:t>
      </w:r>
      <w:r>
        <w:rPr>
          <w:rFonts w:ascii="仿宋_GB2312" w:hAnsi="宋体" w:eastAsia="仿宋_GB2312" w:cs="仿宋_GB2312"/>
          <w:color w:val="3D3D3D"/>
          <w:sz w:val="31"/>
          <w:szCs w:val="31"/>
          <w:shd w:val="clear" w:color="auto" w:fill="FFFFFF"/>
        </w:rPr>
        <w:t>单位未收到</w:t>
      </w:r>
      <w:r>
        <w:rPr>
          <w:rFonts w:hint="eastAsia" w:ascii="仿宋_GB2312" w:hAnsi="宋体" w:eastAsia="仿宋_GB2312" w:cs="仿宋_GB2312"/>
          <w:color w:val="3D3D3D"/>
          <w:sz w:val="31"/>
          <w:szCs w:val="31"/>
          <w:shd w:val="clear" w:color="auto" w:fill="FFFFFF"/>
        </w:rPr>
        <w:t>政府信息公开申请，无相关处理情况。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2.收费和减免情况</w:t>
      </w:r>
    </w:p>
    <w:p>
      <w:pPr>
        <w:spacing w:line="560" w:lineRule="exact"/>
        <w:ind w:firstLine="620" w:firstLineChars="200"/>
        <w:rPr>
          <w:rFonts w:ascii="仿宋_GB2312" w:hAnsi="宋体" w:eastAsia="仿宋_GB2312" w:cs="仿宋_GB2312"/>
          <w:color w:val="3D3D3D"/>
          <w:sz w:val="31"/>
          <w:szCs w:val="31"/>
          <w:shd w:val="clear" w:color="auto" w:fill="FFFFFF"/>
        </w:rPr>
      </w:pPr>
      <w:r>
        <w:rPr>
          <w:rFonts w:hint="eastAsia" w:ascii="仿宋_GB2312" w:hAnsi="宋体" w:eastAsia="仿宋_GB2312" w:cs="仿宋_GB2312"/>
          <w:color w:val="3D3D3D"/>
          <w:sz w:val="31"/>
          <w:szCs w:val="31"/>
          <w:shd w:val="clear" w:color="auto" w:fill="FFFFFF"/>
        </w:rPr>
        <w:t>2020</w:t>
      </w:r>
      <w:r>
        <w:rPr>
          <w:rFonts w:ascii="仿宋_GB2312" w:hAnsi="宋体" w:eastAsia="仿宋_GB2312" w:cs="仿宋_GB2312"/>
          <w:color w:val="3D3D3D"/>
          <w:sz w:val="31"/>
          <w:szCs w:val="31"/>
          <w:shd w:val="clear" w:color="auto" w:fill="FFFFFF"/>
        </w:rPr>
        <w:t>年度，</w:t>
      </w:r>
      <w:r>
        <w:rPr>
          <w:rFonts w:hint="eastAsia" w:ascii="仿宋_GB2312" w:hAnsi="宋体" w:eastAsia="仿宋_GB2312" w:cs="仿宋_GB2312"/>
          <w:color w:val="3D3D3D"/>
          <w:sz w:val="31"/>
          <w:szCs w:val="31"/>
          <w:shd w:val="clear" w:color="auto" w:fill="FFFFFF"/>
        </w:rPr>
        <w:t>我单位</w:t>
      </w:r>
      <w:r>
        <w:rPr>
          <w:rFonts w:ascii="仿宋_GB2312" w:hAnsi="宋体" w:eastAsia="仿宋_GB2312" w:cs="仿宋_GB2312"/>
          <w:color w:val="3D3D3D"/>
          <w:sz w:val="31"/>
          <w:szCs w:val="31"/>
          <w:shd w:val="clear" w:color="auto" w:fill="FFFFFF"/>
        </w:rPr>
        <w:t>在政府信息公开办理过程中，未收取任何费用。</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3.政府信息公开行政复议、行政诉讼情况</w:t>
      </w:r>
    </w:p>
    <w:p>
      <w:pPr>
        <w:spacing w:line="560" w:lineRule="exact"/>
        <w:ind w:firstLine="620" w:firstLineChars="200"/>
        <w:rPr>
          <w:rFonts w:ascii="仿宋_GB2312" w:hAnsi="宋体" w:eastAsia="仿宋_GB2312" w:cs="仿宋_GB2312"/>
          <w:color w:val="3D3D3D"/>
          <w:sz w:val="31"/>
          <w:szCs w:val="31"/>
          <w:shd w:val="clear" w:color="auto" w:fill="FFFFFF"/>
        </w:rPr>
      </w:pPr>
      <w:r>
        <w:rPr>
          <w:rFonts w:ascii="仿宋_GB2312" w:hAnsi="宋体" w:eastAsia="仿宋_GB2312" w:cs="仿宋_GB2312"/>
          <w:color w:val="3D3D3D"/>
          <w:sz w:val="31"/>
          <w:szCs w:val="31"/>
          <w:shd w:val="clear" w:color="auto" w:fill="FFFFFF"/>
        </w:rPr>
        <w:t>20</w:t>
      </w:r>
      <w:r>
        <w:rPr>
          <w:rFonts w:hint="eastAsia" w:ascii="仿宋_GB2312" w:hAnsi="宋体" w:eastAsia="仿宋_GB2312" w:cs="仿宋_GB2312"/>
          <w:color w:val="3D3D3D"/>
          <w:sz w:val="31"/>
          <w:szCs w:val="31"/>
          <w:shd w:val="clear" w:color="auto" w:fill="FFFFFF"/>
        </w:rPr>
        <w:t>20</w:t>
      </w:r>
      <w:r>
        <w:rPr>
          <w:rFonts w:ascii="仿宋_GB2312" w:hAnsi="宋体" w:eastAsia="仿宋_GB2312" w:cs="仿宋_GB2312"/>
          <w:color w:val="3D3D3D"/>
          <w:sz w:val="31"/>
          <w:szCs w:val="31"/>
          <w:shd w:val="clear" w:color="auto" w:fill="FFFFFF"/>
        </w:rPr>
        <w:t>年，我单位未发生行政复议</w:t>
      </w:r>
      <w:r>
        <w:rPr>
          <w:rFonts w:hint="eastAsia" w:ascii="仿宋_GB2312" w:eastAsia="仿宋_GB2312"/>
          <w:sz w:val="32"/>
          <w:szCs w:val="32"/>
        </w:rPr>
        <w:t>、行政诉讼情况</w:t>
      </w:r>
      <w:r>
        <w:rPr>
          <w:rFonts w:hint="eastAsia" w:ascii="仿宋_GB2312" w:hAnsi="宋体" w:eastAsia="仿宋_GB2312" w:cs="仿宋_GB2312"/>
          <w:color w:val="3D3D3D"/>
          <w:sz w:val="31"/>
          <w:szCs w:val="31"/>
          <w:shd w:val="clear" w:color="auto" w:fill="FFFFFF"/>
        </w:rPr>
        <w:t>，</w:t>
      </w:r>
      <w:r>
        <w:rPr>
          <w:rFonts w:ascii="仿宋_GB2312" w:hAnsi="宋体" w:eastAsia="仿宋_GB2312" w:cs="仿宋_GB2312"/>
          <w:color w:val="3D3D3D"/>
          <w:sz w:val="31"/>
          <w:szCs w:val="31"/>
          <w:shd w:val="clear" w:color="auto" w:fill="FFFFFF"/>
        </w:rPr>
        <w:t>未收到群众举报。</w:t>
      </w:r>
    </w:p>
    <w:p>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（四）政府信息管理</w:t>
      </w:r>
    </w:p>
    <w:p>
      <w:pPr>
        <w:spacing w:line="560" w:lineRule="exact"/>
        <w:ind w:firstLine="620" w:firstLineChars="200"/>
        <w:rPr>
          <w:rFonts w:ascii="仿宋_GB2312" w:hAnsi="宋体" w:eastAsia="仿宋_GB2312" w:cs="仿宋_GB2312"/>
          <w:color w:val="555555"/>
          <w:sz w:val="31"/>
          <w:szCs w:val="31"/>
          <w:shd w:val="clear" w:color="auto" w:fill="FFFFFF"/>
        </w:rPr>
      </w:pPr>
      <w:bookmarkStart w:id="0" w:name="_GoBack"/>
      <w:bookmarkEnd w:id="0"/>
      <w:r>
        <w:rPr>
          <w:rFonts w:ascii="仿宋_GB2312" w:hAnsi="宋体" w:eastAsia="仿宋_GB2312" w:cs="仿宋_GB2312"/>
          <w:color w:val="000000" w:themeColor="text1"/>
          <w:sz w:val="31"/>
          <w:szCs w:val="31"/>
          <w:shd w:val="clear" w:color="auto" w:fill="FFFFFF"/>
          <w14:textFill>
            <w14:solidFill>
              <w14:schemeClr w14:val="tx1"/>
            </w14:solidFill>
          </w14:textFill>
        </w:rPr>
        <w:t>严格执行规范性文件及其政策解读同步起草、同步送审、同步发布。组织全</w:t>
      </w:r>
      <w:r>
        <w:rPr>
          <w:rFonts w:hint="eastAsia" w:ascii="仿宋_GB2312" w:hAnsi="宋体" w:eastAsia="仿宋_GB2312" w:cs="仿宋_GB2312"/>
          <w:color w:val="000000" w:themeColor="text1"/>
          <w:sz w:val="31"/>
          <w:szCs w:val="31"/>
          <w:shd w:val="clear" w:color="auto" w:fill="FFFFFF"/>
          <w14:textFill>
            <w14:solidFill>
              <w14:schemeClr w14:val="tx1"/>
            </w14:solidFill>
          </w14:textFill>
        </w:rPr>
        <w:t>局各科室</w:t>
      </w:r>
      <w:r>
        <w:rPr>
          <w:rFonts w:ascii="仿宋_GB2312" w:hAnsi="宋体" w:eastAsia="仿宋_GB2312" w:cs="仿宋_GB2312"/>
          <w:color w:val="000000" w:themeColor="text1"/>
          <w:sz w:val="31"/>
          <w:szCs w:val="31"/>
          <w:shd w:val="clear" w:color="auto" w:fill="FFFFFF"/>
          <w14:textFill>
            <w14:solidFill>
              <w14:schemeClr w14:val="tx1"/>
            </w14:solidFill>
          </w14:textFill>
        </w:rPr>
        <w:t>政府信息管理员</w:t>
      </w:r>
      <w:r>
        <w:rPr>
          <w:rFonts w:hint="eastAsia" w:ascii="仿宋_GB2312" w:hAnsi="宋体" w:eastAsia="仿宋_GB2312" w:cs="仿宋_GB2312"/>
          <w:color w:val="000000" w:themeColor="text1"/>
          <w:sz w:val="31"/>
          <w:szCs w:val="31"/>
          <w:shd w:val="clear" w:color="auto" w:fill="FFFFFF"/>
          <w14:textFill>
            <w14:solidFill>
              <w14:schemeClr w14:val="tx1"/>
            </w14:solidFill>
          </w14:textFill>
        </w:rPr>
        <w:t>进行</w:t>
      </w:r>
      <w:r>
        <w:rPr>
          <w:rFonts w:ascii="仿宋_GB2312" w:hAnsi="宋体" w:eastAsia="仿宋_GB2312" w:cs="仿宋_GB2312"/>
          <w:color w:val="000000" w:themeColor="text1"/>
          <w:sz w:val="31"/>
          <w:szCs w:val="31"/>
          <w:shd w:val="clear" w:color="auto" w:fill="FFFFFF"/>
          <w14:textFill>
            <w14:solidFill>
              <w14:schemeClr w14:val="tx1"/>
            </w14:solidFill>
          </w14:textFill>
        </w:rPr>
        <w:t>集中培训，</w:t>
      </w:r>
      <w:r>
        <w:rPr>
          <w:rFonts w:hint="eastAsia" w:ascii="仿宋_GB2312" w:hAnsi="宋体" w:eastAsia="仿宋_GB2312" w:cs="仿宋_GB2312"/>
          <w:color w:val="000000" w:themeColor="text1"/>
          <w:sz w:val="31"/>
          <w:szCs w:val="31"/>
          <w:shd w:val="clear" w:color="auto" w:fill="FFFFFF"/>
          <w14:textFill>
            <w14:solidFill>
              <w14:schemeClr w14:val="tx1"/>
            </w14:solidFill>
          </w14:textFill>
        </w:rPr>
        <w:t>全面</w:t>
      </w:r>
      <w:r>
        <w:rPr>
          <w:rFonts w:ascii="仿宋_GB2312" w:hAnsi="宋体" w:eastAsia="仿宋_GB2312" w:cs="仿宋_GB2312"/>
          <w:color w:val="000000" w:themeColor="text1"/>
          <w:sz w:val="31"/>
          <w:szCs w:val="31"/>
          <w:shd w:val="clear" w:color="auto" w:fill="FFFFFF"/>
          <w14:textFill>
            <w14:solidFill>
              <w14:schemeClr w14:val="tx1"/>
            </w14:solidFill>
          </w14:textFill>
        </w:rPr>
        <w:t>落实政府信息公开起草责任人初审、</w:t>
      </w:r>
      <w:r>
        <w:rPr>
          <w:rFonts w:hint="eastAsia" w:ascii="仿宋_GB2312" w:hAnsi="宋体" w:eastAsia="仿宋_GB2312" w:cs="仿宋_GB2312"/>
          <w:color w:val="000000" w:themeColor="text1"/>
          <w:sz w:val="31"/>
          <w:szCs w:val="31"/>
          <w:shd w:val="clear" w:color="auto" w:fill="FFFFFF"/>
          <w14:textFill>
            <w14:solidFill>
              <w14:schemeClr w14:val="tx1"/>
            </w14:solidFill>
          </w14:textFill>
        </w:rPr>
        <w:t>科</w:t>
      </w:r>
      <w:r>
        <w:rPr>
          <w:rFonts w:hint="eastAsia" w:ascii="仿宋_GB2312" w:hAnsi="宋体" w:eastAsia="仿宋_GB2312" w:cs="仿宋_GB2312"/>
          <w:color w:val="555555"/>
          <w:sz w:val="31"/>
          <w:szCs w:val="31"/>
          <w:shd w:val="clear" w:color="auto" w:fill="FFFFFF"/>
        </w:rPr>
        <w:t>室</w:t>
      </w:r>
      <w:r>
        <w:rPr>
          <w:rFonts w:ascii="仿宋_GB2312" w:hAnsi="宋体" w:eastAsia="仿宋_GB2312" w:cs="仿宋_GB2312"/>
          <w:color w:val="555555"/>
          <w:sz w:val="31"/>
          <w:szCs w:val="31"/>
          <w:shd w:val="clear" w:color="auto" w:fill="FFFFFF"/>
        </w:rPr>
        <w:t>负责人审核、分管领导审发“三审”制度</w:t>
      </w:r>
      <w:r>
        <w:rPr>
          <w:rFonts w:hint="eastAsia" w:ascii="仿宋_GB2312" w:hAnsi="宋体" w:eastAsia="仿宋_GB2312" w:cs="仿宋_GB2312"/>
          <w:color w:val="555555"/>
          <w:sz w:val="31"/>
          <w:szCs w:val="31"/>
          <w:shd w:val="clear" w:color="auto" w:fill="FFFFFF"/>
        </w:rPr>
        <w:t>，确保政务公开信息的准确性、规范性、完整性</w:t>
      </w:r>
      <w:r>
        <w:rPr>
          <w:rFonts w:ascii="仿宋_GB2312" w:hAnsi="宋体" w:eastAsia="仿宋_GB2312" w:cs="仿宋_GB2312"/>
          <w:color w:val="555555"/>
          <w:sz w:val="31"/>
          <w:szCs w:val="31"/>
          <w:shd w:val="clear" w:color="auto" w:fill="FFFFFF"/>
        </w:rPr>
        <w:t>。</w:t>
      </w:r>
    </w:p>
    <w:p>
      <w:pPr>
        <w:jc w:val="center"/>
        <w:rPr>
          <w:rFonts w:ascii="仿宋_GB2312" w:hAnsi="宋体" w:eastAsia="仿宋_GB2312" w:cs="仿宋_GB2312"/>
          <w:color w:val="555555"/>
          <w:sz w:val="31"/>
          <w:szCs w:val="31"/>
          <w:shd w:val="clear" w:color="auto" w:fill="FFFFFF"/>
        </w:rPr>
      </w:pPr>
      <w:r>
        <w:rPr>
          <w:rFonts w:hint="eastAsia" w:ascii="仿宋_GB2312" w:hAnsi="宋体" w:eastAsia="仿宋_GB2312" w:cs="仿宋_GB2312"/>
          <w:color w:val="555555"/>
          <w:sz w:val="31"/>
          <w:szCs w:val="31"/>
          <w:shd w:val="clear" w:color="auto" w:fill="FFFFFF"/>
        </w:rPr>
        <w:drawing>
          <wp:inline distT="0" distB="0" distL="114300" distR="114300">
            <wp:extent cx="5019040" cy="3655695"/>
            <wp:effectExtent l="0" t="0" r="10160" b="1905"/>
            <wp:docPr id="10" name="图片 10" descr="政务公开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政务公开培训"/>
                    <pic:cNvPicPr>
                      <a:picLocks noChangeAspect="1"/>
                    </pic:cNvPicPr>
                  </pic:nvPicPr>
                  <pic:blipFill>
                    <a:blip r:embed="rId12"/>
                    <a:stretch>
                      <a:fillRect/>
                    </a:stretch>
                  </pic:blipFill>
                  <pic:spPr>
                    <a:xfrm>
                      <a:off x="0" y="0"/>
                      <a:ext cx="5019040" cy="3655695"/>
                    </a:xfrm>
                    <a:prstGeom prst="rect">
                      <a:avLst/>
                    </a:prstGeom>
                  </pic:spPr>
                </pic:pic>
              </a:graphicData>
            </a:graphic>
          </wp:inline>
        </w:drawing>
      </w:r>
    </w:p>
    <w:p>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（五）平台建设</w:t>
      </w:r>
    </w:p>
    <w:p>
      <w:pPr>
        <w:spacing w:line="560" w:lineRule="exact"/>
        <w:ind w:firstLine="640" w:firstLineChars="200"/>
        <w:rPr>
          <w:rFonts w:ascii="仿宋_GB2312" w:hAnsi="宋体" w:eastAsia="仿宋_GB2312" w:cs="仿宋_GB2312"/>
          <w:color w:val="333333"/>
          <w:sz w:val="32"/>
          <w:szCs w:val="32"/>
          <w:shd w:val="clear" w:color="auto" w:fill="FFFFFF"/>
        </w:rPr>
      </w:pPr>
      <w:r>
        <w:rPr>
          <w:rFonts w:ascii="仿宋_GB2312" w:hAnsi="宋体" w:eastAsia="仿宋_GB2312" w:cs="仿宋_GB2312"/>
          <w:color w:val="333333"/>
          <w:sz w:val="32"/>
          <w:szCs w:val="32"/>
          <w:shd w:val="clear" w:color="auto" w:fill="FFFFFF"/>
        </w:rPr>
        <w:t>一是推进政府网站优质规范发展。</w:t>
      </w:r>
      <w:r>
        <w:rPr>
          <w:rFonts w:ascii="仿宋_GB2312" w:hAnsi="宋体" w:eastAsia="仿宋_GB2312" w:cs="仿宋_GB2312"/>
          <w:color w:val="000000" w:themeColor="text1"/>
          <w:sz w:val="32"/>
          <w:szCs w:val="32"/>
          <w:shd w:val="clear" w:color="auto" w:fill="FFFFFF"/>
          <w14:textFill>
            <w14:solidFill>
              <w14:schemeClr w14:val="tx1"/>
            </w14:solidFill>
          </w14:textFill>
        </w:rPr>
        <w:t>根据</w:t>
      </w:r>
      <w:r>
        <w:rPr>
          <w:rFonts w:hint="eastAsia" w:ascii="仿宋_GB2312" w:hAnsi="宋体" w:eastAsia="仿宋_GB2312" w:cs="仿宋_GB2312"/>
          <w:color w:val="000000" w:themeColor="text1"/>
          <w:sz w:val="32"/>
          <w:szCs w:val="32"/>
          <w:shd w:val="clear" w:color="auto" w:fill="FFFFFF"/>
          <w14:textFill>
            <w14:solidFill>
              <w14:schemeClr w14:val="tx1"/>
            </w14:solidFill>
          </w14:textFill>
        </w:rPr>
        <w:t>全市政府信息公开平台实务操作培训视频会要求</w:t>
      </w:r>
      <w:r>
        <w:rPr>
          <w:rFonts w:ascii="仿宋_GB2312" w:hAnsi="宋体" w:eastAsia="仿宋_GB2312" w:cs="仿宋_GB2312"/>
          <w:color w:val="000000" w:themeColor="text1"/>
          <w:sz w:val="32"/>
          <w:szCs w:val="32"/>
          <w:shd w:val="clear" w:color="auto" w:fill="FFFFFF"/>
          <w14:textFill>
            <w14:solidFill>
              <w14:schemeClr w14:val="tx1"/>
            </w14:solidFill>
          </w14:textFill>
        </w:rPr>
        <w:t>，</w:t>
      </w:r>
      <w:r>
        <w:rPr>
          <w:rFonts w:ascii="仿宋_GB2312" w:hAnsi="宋体" w:eastAsia="仿宋_GB2312" w:cs="仿宋_GB2312"/>
          <w:color w:val="000000" w:themeColor="text1"/>
          <w:sz w:val="31"/>
          <w:szCs w:val="31"/>
          <w:shd w:val="clear" w:color="auto" w:fill="FFFFFF"/>
          <w14:textFill>
            <w14:solidFill>
              <w14:schemeClr w14:val="tx1"/>
            </w14:solidFill>
          </w14:textFill>
        </w:rPr>
        <w:t>始终把</w:t>
      </w:r>
      <w:r>
        <w:rPr>
          <w:rFonts w:ascii="仿宋_GB2312" w:hAnsi="宋体" w:eastAsia="仿宋_GB2312" w:cs="仿宋_GB2312"/>
          <w:color w:val="555555"/>
          <w:sz w:val="31"/>
          <w:szCs w:val="31"/>
          <w:shd w:val="clear" w:color="auto" w:fill="FFFFFF"/>
        </w:rPr>
        <w:t>政府网站作为政府信息公开第一平台，严格按照《政府网站发展指引》和相关工作要求，</w:t>
      </w:r>
      <w:r>
        <w:rPr>
          <w:rFonts w:ascii="仿宋_GB2312" w:hAnsi="宋体" w:eastAsia="仿宋_GB2312" w:cs="仿宋_GB2312"/>
          <w:color w:val="333333"/>
          <w:sz w:val="32"/>
          <w:szCs w:val="32"/>
          <w:shd w:val="clear" w:color="auto" w:fill="FFFFFF"/>
        </w:rPr>
        <w:t>及时做好政务网站内容迁移、</w:t>
      </w:r>
      <w:r>
        <w:rPr>
          <w:rFonts w:hint="eastAsia" w:ascii="仿宋_GB2312" w:hAnsi="宋体" w:eastAsia="仿宋_GB2312" w:cs="仿宋_GB2312"/>
          <w:color w:val="333333"/>
          <w:sz w:val="32"/>
          <w:szCs w:val="32"/>
          <w:shd w:val="clear" w:color="auto" w:fill="FFFFFF"/>
        </w:rPr>
        <w:t>更新</w:t>
      </w:r>
      <w:r>
        <w:rPr>
          <w:rFonts w:ascii="仿宋_GB2312" w:hAnsi="宋体" w:eastAsia="仿宋_GB2312" w:cs="仿宋_GB2312"/>
          <w:color w:val="333333"/>
          <w:sz w:val="32"/>
          <w:szCs w:val="32"/>
          <w:shd w:val="clear" w:color="auto" w:fill="FFFFFF"/>
        </w:rPr>
        <w:t>及</w:t>
      </w:r>
      <w:r>
        <w:rPr>
          <w:rFonts w:hint="eastAsia" w:ascii="仿宋_GB2312" w:hAnsi="宋体" w:eastAsia="仿宋_GB2312" w:cs="仿宋_GB2312"/>
          <w:color w:val="333333"/>
          <w:sz w:val="32"/>
          <w:szCs w:val="32"/>
          <w:shd w:val="clear" w:color="auto" w:fill="FFFFFF"/>
        </w:rPr>
        <w:t>年度考核</w:t>
      </w:r>
      <w:r>
        <w:rPr>
          <w:rFonts w:ascii="仿宋_GB2312" w:hAnsi="宋体" w:eastAsia="仿宋_GB2312" w:cs="仿宋_GB2312"/>
          <w:color w:val="333333"/>
          <w:sz w:val="32"/>
          <w:szCs w:val="32"/>
          <w:shd w:val="clear" w:color="auto" w:fill="FFFFFF"/>
        </w:rPr>
        <w:t>等工作</w:t>
      </w:r>
      <w:r>
        <w:rPr>
          <w:rFonts w:hint="eastAsia" w:ascii="仿宋_GB2312" w:hAnsi="宋体" w:eastAsia="仿宋_GB2312" w:cs="仿宋_GB2312"/>
          <w:color w:val="333333"/>
          <w:sz w:val="32"/>
          <w:szCs w:val="32"/>
          <w:shd w:val="clear" w:color="auto" w:fill="FFFFFF"/>
        </w:rPr>
        <w:t>。</w:t>
      </w:r>
      <w:r>
        <w:rPr>
          <w:rFonts w:ascii="仿宋_GB2312" w:hAnsi="宋体" w:eastAsia="仿宋_GB2312" w:cs="仿宋_GB2312"/>
          <w:color w:val="555555"/>
          <w:sz w:val="31"/>
          <w:szCs w:val="31"/>
          <w:shd w:val="clear" w:color="auto" w:fill="FFFFFF"/>
        </w:rPr>
        <w:t>持续完善平台发布功能、规范栏目设置</w:t>
      </w:r>
      <w:r>
        <w:rPr>
          <w:rFonts w:hint="eastAsia" w:ascii="仿宋_GB2312" w:hAnsi="宋体" w:eastAsia="仿宋_GB2312" w:cs="仿宋_GB2312"/>
          <w:color w:val="555555"/>
          <w:sz w:val="31"/>
          <w:szCs w:val="31"/>
          <w:shd w:val="clear" w:color="auto" w:fill="FFFFFF"/>
        </w:rPr>
        <w:t>，</w:t>
      </w:r>
      <w:r>
        <w:rPr>
          <w:rFonts w:hint="eastAsia" w:ascii="仿宋_GB2312" w:hAnsi="宋体" w:eastAsia="仿宋_GB2312" w:cs="仿宋_GB2312"/>
          <w:color w:val="333333"/>
          <w:sz w:val="32"/>
          <w:szCs w:val="32"/>
          <w:shd w:val="clear" w:color="auto" w:fill="FFFFFF"/>
        </w:rPr>
        <w:t>拓展重点领域、公共文化等栏目信息内容。</w:t>
      </w:r>
      <w:r>
        <w:rPr>
          <w:rFonts w:ascii="仿宋_GB2312" w:hAnsi="宋体" w:eastAsia="仿宋_GB2312" w:cs="仿宋_GB2312"/>
          <w:color w:val="333333"/>
          <w:sz w:val="32"/>
          <w:szCs w:val="32"/>
          <w:shd w:val="clear" w:color="auto" w:fill="FFFFFF"/>
        </w:rPr>
        <w:t>二是推进政务新媒体健康有序发展。充分发挥</w:t>
      </w:r>
      <w:r>
        <w:rPr>
          <w:rFonts w:hint="eastAsia" w:ascii="仿宋_GB2312" w:hAnsi="宋体" w:eastAsia="仿宋_GB2312" w:cs="仿宋_GB2312"/>
          <w:color w:val="333333"/>
          <w:sz w:val="32"/>
          <w:szCs w:val="32"/>
          <w:shd w:val="clear" w:color="auto" w:fill="FFFFFF"/>
        </w:rPr>
        <w:t>“高青文旅”</w:t>
      </w:r>
      <w:r>
        <w:rPr>
          <w:rFonts w:ascii="仿宋_GB2312" w:hAnsi="宋体" w:eastAsia="仿宋_GB2312" w:cs="仿宋_GB2312"/>
          <w:color w:val="333333"/>
          <w:sz w:val="32"/>
          <w:szCs w:val="32"/>
          <w:shd w:val="clear" w:color="auto" w:fill="FFFFFF"/>
        </w:rPr>
        <w:t>新媒体平台作用，加强</w:t>
      </w:r>
      <w:r>
        <w:rPr>
          <w:rFonts w:hint="eastAsia" w:ascii="仿宋_GB2312" w:hAnsi="宋体" w:eastAsia="仿宋_GB2312" w:cs="仿宋_GB2312"/>
          <w:color w:val="333333"/>
          <w:sz w:val="32"/>
          <w:szCs w:val="32"/>
          <w:shd w:val="clear" w:color="auto" w:fill="FFFFFF"/>
        </w:rPr>
        <w:t>新媒体账号的信息发布</w:t>
      </w:r>
      <w:r>
        <w:rPr>
          <w:rFonts w:ascii="仿宋_GB2312" w:hAnsi="宋体" w:eastAsia="仿宋_GB2312" w:cs="仿宋_GB2312"/>
          <w:color w:val="333333"/>
          <w:sz w:val="32"/>
          <w:szCs w:val="32"/>
          <w:shd w:val="clear" w:color="auto" w:fill="FFFFFF"/>
        </w:rPr>
        <w:t>。“</w:t>
      </w:r>
      <w:r>
        <w:rPr>
          <w:rFonts w:hint="eastAsia" w:ascii="仿宋_GB2312" w:hAnsi="宋体" w:eastAsia="仿宋_GB2312" w:cs="仿宋_GB2312"/>
          <w:color w:val="333333"/>
          <w:sz w:val="32"/>
          <w:szCs w:val="32"/>
          <w:shd w:val="clear" w:color="auto" w:fill="FFFFFF"/>
        </w:rPr>
        <w:t>高青文旅</w:t>
      </w:r>
      <w:r>
        <w:rPr>
          <w:rFonts w:ascii="仿宋_GB2312" w:hAnsi="宋体" w:eastAsia="仿宋_GB2312" w:cs="仿宋_GB2312"/>
          <w:color w:val="333333"/>
          <w:sz w:val="32"/>
          <w:szCs w:val="32"/>
          <w:shd w:val="clear" w:color="auto" w:fill="FFFFFF"/>
        </w:rPr>
        <w:t>”微信公众号</w:t>
      </w:r>
      <w:r>
        <w:rPr>
          <w:rFonts w:hint="eastAsia" w:ascii="仿宋_GB2312" w:hAnsi="宋体" w:eastAsia="仿宋_GB2312" w:cs="仿宋_GB2312"/>
          <w:color w:val="333333"/>
          <w:sz w:val="32"/>
          <w:szCs w:val="32"/>
          <w:shd w:val="clear" w:color="auto" w:fill="FFFFFF"/>
        </w:rPr>
        <w:t>关注人数5217人</w:t>
      </w:r>
      <w:r>
        <w:rPr>
          <w:rFonts w:ascii="仿宋_GB2312" w:hAnsi="宋体" w:eastAsia="仿宋_GB2312" w:cs="仿宋_GB2312"/>
          <w:color w:val="333333"/>
          <w:sz w:val="32"/>
          <w:szCs w:val="32"/>
          <w:shd w:val="clear" w:color="auto" w:fill="FFFFFF"/>
        </w:rPr>
        <w:t>，20</w:t>
      </w:r>
      <w:r>
        <w:rPr>
          <w:rFonts w:hint="eastAsia" w:ascii="仿宋_GB2312" w:hAnsi="宋体" w:eastAsia="仿宋_GB2312" w:cs="仿宋_GB2312"/>
          <w:color w:val="333333"/>
          <w:sz w:val="32"/>
          <w:szCs w:val="32"/>
          <w:shd w:val="clear" w:color="auto" w:fill="FFFFFF"/>
        </w:rPr>
        <w:t>20</w:t>
      </w:r>
      <w:r>
        <w:rPr>
          <w:rFonts w:ascii="仿宋_GB2312" w:hAnsi="宋体" w:eastAsia="仿宋_GB2312" w:cs="仿宋_GB2312"/>
          <w:color w:val="333333"/>
          <w:sz w:val="32"/>
          <w:szCs w:val="32"/>
          <w:shd w:val="clear" w:color="auto" w:fill="FFFFFF"/>
        </w:rPr>
        <w:t>年发布文旅</w:t>
      </w:r>
      <w:r>
        <w:rPr>
          <w:rFonts w:hint="eastAsia" w:ascii="仿宋_GB2312" w:hAnsi="宋体" w:eastAsia="仿宋_GB2312" w:cs="仿宋_GB2312"/>
          <w:color w:val="333333"/>
          <w:sz w:val="32"/>
          <w:szCs w:val="32"/>
          <w:shd w:val="clear" w:color="auto" w:fill="FFFFFF"/>
        </w:rPr>
        <w:t>文章、作品220余</w:t>
      </w:r>
      <w:r>
        <w:rPr>
          <w:rFonts w:ascii="仿宋_GB2312" w:hAnsi="宋体" w:eastAsia="仿宋_GB2312" w:cs="仿宋_GB2312"/>
          <w:color w:val="333333"/>
          <w:sz w:val="32"/>
          <w:szCs w:val="32"/>
          <w:shd w:val="clear" w:color="auto" w:fill="FFFFFF"/>
        </w:rPr>
        <w:t>条，</w:t>
      </w:r>
      <w:r>
        <w:rPr>
          <w:rFonts w:hint="eastAsia" w:ascii="仿宋_GB2312" w:hAnsi="宋体" w:eastAsia="仿宋_GB2312" w:cs="仿宋_GB2312"/>
          <w:color w:val="333333"/>
          <w:sz w:val="32"/>
          <w:szCs w:val="32"/>
          <w:shd w:val="clear" w:color="auto" w:fill="FFFFFF"/>
        </w:rPr>
        <w:t>居山东各地区</w:t>
      </w:r>
      <w:r>
        <w:rPr>
          <w:rFonts w:ascii="仿宋_GB2312" w:hAnsi="宋体" w:eastAsia="仿宋_GB2312" w:cs="仿宋_GB2312"/>
          <w:color w:val="333333"/>
          <w:sz w:val="32"/>
          <w:szCs w:val="32"/>
          <w:shd w:val="clear" w:color="auto" w:fill="FFFFFF"/>
        </w:rPr>
        <w:t>文旅</w:t>
      </w:r>
      <w:r>
        <w:rPr>
          <w:rFonts w:hint="eastAsia" w:ascii="仿宋_GB2312" w:hAnsi="宋体" w:eastAsia="仿宋_GB2312" w:cs="仿宋_GB2312"/>
          <w:color w:val="333333"/>
          <w:sz w:val="32"/>
          <w:szCs w:val="32"/>
          <w:shd w:val="clear" w:color="auto" w:fill="FFFFFF"/>
        </w:rPr>
        <w:t>系统微信</w:t>
      </w:r>
      <w:r>
        <w:rPr>
          <w:rFonts w:ascii="仿宋_GB2312" w:hAnsi="宋体" w:eastAsia="仿宋_GB2312" w:cs="仿宋_GB2312"/>
          <w:color w:val="333333"/>
          <w:sz w:val="32"/>
          <w:szCs w:val="32"/>
          <w:shd w:val="clear" w:color="auto" w:fill="FFFFFF"/>
        </w:rPr>
        <w:t>官方账号影响力排行榜前列。三是</w:t>
      </w:r>
      <w:r>
        <w:rPr>
          <w:rFonts w:hint="eastAsia" w:ascii="仿宋_GB2312" w:hAnsi="宋体" w:eastAsia="仿宋_GB2312" w:cs="仿宋_GB2312"/>
          <w:color w:val="333333"/>
          <w:sz w:val="32"/>
          <w:szCs w:val="32"/>
          <w:shd w:val="clear" w:color="auto" w:fill="FFFFFF"/>
        </w:rPr>
        <w:t>创新开展政务公开工作</w:t>
      </w:r>
      <w:r>
        <w:rPr>
          <w:rFonts w:ascii="仿宋_GB2312" w:hAnsi="宋体" w:eastAsia="仿宋_GB2312" w:cs="仿宋_GB2312"/>
          <w:color w:val="333333"/>
          <w:sz w:val="32"/>
          <w:szCs w:val="32"/>
          <w:shd w:val="clear" w:color="auto" w:fill="FFFFFF"/>
        </w:rPr>
        <w:t>。</w:t>
      </w:r>
      <w:r>
        <w:rPr>
          <w:rFonts w:hint="eastAsia" w:ascii="仿宋_GB2312" w:hAnsi="宋体" w:eastAsia="仿宋_GB2312" w:cs="仿宋_GB2312"/>
          <w:color w:val="333333"/>
          <w:sz w:val="32"/>
          <w:szCs w:val="32"/>
          <w:shd w:val="clear" w:color="auto" w:fill="FFFFFF"/>
        </w:rPr>
        <w:t>为进一步展示我县文化旅游工作新成果、新风貌，扎实做好群众满意度工作，组织开展“市民代表看文旅新貌”观摩活动，主动接受群众监督，广泛听取群众意见。</w:t>
      </w:r>
    </w:p>
    <w:p>
      <w:pPr>
        <w:rPr>
          <w:rFonts w:ascii="仿宋_GB2312" w:hAnsi="宋体" w:eastAsia="仿宋_GB2312" w:cs="仿宋_GB2312"/>
          <w:color w:val="333333"/>
          <w:sz w:val="32"/>
          <w:szCs w:val="32"/>
          <w:shd w:val="clear" w:color="auto" w:fill="FFFFFF"/>
        </w:rPr>
      </w:pPr>
      <w:r>
        <w:rPr>
          <w:rFonts w:ascii="仿宋_GB2312" w:hAnsi="宋体" w:eastAsia="仿宋_GB2312" w:cs="仿宋_GB2312"/>
          <w:color w:val="333333"/>
          <w:sz w:val="32"/>
          <w:szCs w:val="32"/>
          <w:shd w:val="clear" w:color="auto" w:fill="FFFFFF"/>
        </w:rPr>
        <w:drawing>
          <wp:inline distT="0" distB="0" distL="0" distR="0">
            <wp:extent cx="5274310" cy="29813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81325"/>
                    </a:xfrm>
                    <a:prstGeom prst="rect">
                      <a:avLst/>
                    </a:prstGeom>
                  </pic:spPr>
                </pic:pic>
              </a:graphicData>
            </a:graphic>
          </wp:inline>
        </w:drawing>
      </w:r>
    </w:p>
    <w:p>
      <w:pPr>
        <w:rPr>
          <w:rFonts w:ascii="仿宋_GB2312" w:hAnsi="宋体" w:eastAsia="仿宋_GB2312" w:cs="仿宋_GB2312"/>
          <w:color w:val="333333"/>
          <w:sz w:val="32"/>
          <w:szCs w:val="32"/>
          <w:shd w:val="clear" w:color="auto" w:fill="FFFFFF"/>
        </w:rPr>
      </w:pPr>
      <w:r>
        <w:rPr>
          <w:rFonts w:hint="eastAsia" w:ascii="仿宋_GB2312" w:hAnsi="宋体" w:eastAsia="仿宋_GB2312" w:cs="仿宋_GB2312"/>
          <w:color w:val="333333"/>
          <w:sz w:val="32"/>
          <w:szCs w:val="32"/>
          <w:shd w:val="clear" w:color="auto" w:fill="FFFFFF"/>
        </w:rPr>
        <w:drawing>
          <wp:inline distT="0" distB="0" distL="0" distR="0">
            <wp:extent cx="5274310" cy="32962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296285"/>
                    </a:xfrm>
                    <a:prstGeom prst="rect">
                      <a:avLst/>
                    </a:prstGeom>
                  </pic:spPr>
                </pic:pic>
              </a:graphicData>
            </a:graphic>
          </wp:inline>
        </w:drawing>
      </w:r>
    </w:p>
    <w:p>
      <w:pPr>
        <w:rPr>
          <w:rFonts w:ascii="仿宋_GB2312" w:hAnsi="宋体" w:eastAsia="仿宋_GB2312" w:cs="仿宋_GB2312"/>
          <w:color w:val="333333"/>
          <w:sz w:val="32"/>
          <w:szCs w:val="32"/>
          <w:shd w:val="clear" w:color="auto" w:fill="FFFFFF"/>
        </w:rPr>
      </w:pPr>
      <w:r>
        <w:rPr>
          <w:rFonts w:hint="eastAsia" w:ascii="仿宋_GB2312" w:hAnsi="宋体" w:eastAsia="仿宋_GB2312" w:cs="仿宋_GB2312"/>
          <w:color w:val="333333"/>
          <w:sz w:val="32"/>
          <w:szCs w:val="32"/>
          <w:shd w:val="clear" w:color="auto" w:fill="FFFFFF"/>
        </w:rPr>
        <w:drawing>
          <wp:inline distT="0" distB="0" distL="114300" distR="114300">
            <wp:extent cx="5274310" cy="4136390"/>
            <wp:effectExtent l="0" t="0" r="2540" b="16510"/>
            <wp:docPr id="11" name="图片 11" descr="市民代表看文旅新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市民代表看文旅新貌"/>
                    <pic:cNvPicPr>
                      <a:picLocks noChangeAspect="1"/>
                    </pic:cNvPicPr>
                  </pic:nvPicPr>
                  <pic:blipFill>
                    <a:blip r:embed="rId15"/>
                    <a:stretch>
                      <a:fillRect/>
                    </a:stretch>
                  </pic:blipFill>
                  <pic:spPr>
                    <a:xfrm>
                      <a:off x="0" y="0"/>
                      <a:ext cx="5274310" cy="4136390"/>
                    </a:xfrm>
                    <a:prstGeom prst="rect">
                      <a:avLst/>
                    </a:prstGeom>
                  </pic:spPr>
                </pic:pic>
              </a:graphicData>
            </a:graphic>
          </wp:inline>
        </w:drawing>
      </w:r>
    </w:p>
    <w:p>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（六）监督保障</w:t>
      </w:r>
    </w:p>
    <w:p>
      <w:pPr>
        <w:spacing w:line="560" w:lineRule="exact"/>
        <w:ind w:firstLine="620" w:firstLineChars="200"/>
        <w:rPr>
          <w:rFonts w:ascii="仿宋" w:hAnsi="仿宋" w:eastAsia="仿宋" w:cs="仿宋"/>
          <w:color w:val="333333"/>
          <w:sz w:val="31"/>
          <w:szCs w:val="31"/>
        </w:rPr>
      </w:pPr>
      <w:r>
        <w:rPr>
          <w:rFonts w:ascii="仿宋" w:hAnsi="仿宋" w:eastAsia="仿宋" w:cs="仿宋"/>
          <w:color w:val="333333"/>
          <w:sz w:val="31"/>
          <w:szCs w:val="31"/>
        </w:rPr>
        <w:t>我</w:t>
      </w:r>
      <w:r>
        <w:rPr>
          <w:rFonts w:hint="eastAsia" w:ascii="仿宋" w:hAnsi="仿宋" w:eastAsia="仿宋" w:cs="仿宋"/>
          <w:color w:val="333333"/>
          <w:sz w:val="31"/>
          <w:szCs w:val="31"/>
        </w:rPr>
        <w:t>局将政府信息公开工作纳入对全局绩效考评，并按季度开展检查考评，在门户网站集中展示全局政府信息公开年度报告。严格遵循政府信息公开基本原则开展信息公开工作，做到“依法公开，真实公正，注重实效，有利监督”。</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二、主动公开政府信息情况</w:t>
      </w:r>
    </w:p>
    <w:tbl>
      <w:tblPr>
        <w:tblStyle w:val="7"/>
        <w:tblW w:w="8705" w:type="dxa"/>
        <w:jc w:val="center"/>
        <w:tblLayout w:type="autofit"/>
        <w:tblCellMar>
          <w:top w:w="0" w:type="dxa"/>
          <w:left w:w="108" w:type="dxa"/>
          <w:bottom w:w="0" w:type="dxa"/>
          <w:right w:w="108" w:type="dxa"/>
        </w:tblCellMar>
      </w:tblPr>
      <w:tblGrid>
        <w:gridCol w:w="2752"/>
        <w:gridCol w:w="1984"/>
        <w:gridCol w:w="1985"/>
        <w:gridCol w:w="1984"/>
      </w:tblGrid>
      <w:tr>
        <w:tblPrEx>
          <w:tblCellMar>
            <w:top w:w="0" w:type="dxa"/>
            <w:left w:w="108" w:type="dxa"/>
            <w:bottom w:w="0" w:type="dxa"/>
            <w:right w:w="108" w:type="dxa"/>
          </w:tblCellMar>
        </w:tblPrEx>
        <w:trPr>
          <w:trHeight w:val="495"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b/>
                <w:color w:val="333333"/>
                <w:kern w:val="0"/>
                <w:sz w:val="24"/>
                <w:szCs w:val="24"/>
              </w:rPr>
            </w:pPr>
            <w:r>
              <w:rPr>
                <w:rFonts w:hint="eastAsia" w:ascii="宋体" w:hAnsi="宋体" w:eastAsia="宋体" w:cs="宋体"/>
                <w:b/>
                <w:color w:val="333333"/>
                <w:kern w:val="0"/>
                <w:sz w:val="24"/>
                <w:szCs w:val="24"/>
              </w:rPr>
              <w:t>第二十条第（一）项</w:t>
            </w:r>
          </w:p>
        </w:tc>
      </w:tr>
      <w:tr>
        <w:tblPrEx>
          <w:tblCellMar>
            <w:top w:w="0" w:type="dxa"/>
            <w:left w:w="108" w:type="dxa"/>
            <w:bottom w:w="0" w:type="dxa"/>
            <w:right w:w="108" w:type="dxa"/>
          </w:tblCellMar>
        </w:tblPrEx>
        <w:trPr>
          <w:trHeight w:val="88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本年新</w:t>
            </w:r>
            <w:r>
              <w:rPr>
                <w:rFonts w:ascii="宋体" w:hAnsi="宋体" w:eastAsia="宋体" w:cs="宋体"/>
                <w:color w:val="333333"/>
                <w:kern w:val="0"/>
                <w:sz w:val="24"/>
                <w:szCs w:val="24"/>
              </w:rPr>
              <w:t>制作数量</w:t>
            </w:r>
          </w:p>
        </w:tc>
        <w:tc>
          <w:tcPr>
            <w:tcW w:w="198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本年新</w:t>
            </w:r>
            <w:r>
              <w:rPr>
                <w:rFonts w:ascii="宋体" w:hAnsi="宋体" w:eastAsia="宋体" w:cs="宋体"/>
                <w:color w:val="333333"/>
                <w:kern w:val="0"/>
                <w:sz w:val="24"/>
                <w:szCs w:val="24"/>
              </w:rPr>
              <w:t>公开数量</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对外公开总数量</w:t>
            </w:r>
          </w:p>
        </w:tc>
      </w:tr>
      <w:tr>
        <w:tblPrEx>
          <w:tblCellMar>
            <w:top w:w="0" w:type="dxa"/>
            <w:left w:w="108" w:type="dxa"/>
            <w:bottom w:w="0" w:type="dxa"/>
            <w:right w:w="108" w:type="dxa"/>
          </w:tblCellMar>
        </w:tblPrEx>
        <w:trPr>
          <w:trHeight w:val="69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规章</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xml:space="preserve">  0</w:t>
            </w:r>
          </w:p>
        </w:tc>
        <w:tc>
          <w:tcPr>
            <w:tcW w:w="1985"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宋体" w:hAnsi="宋体" w:eastAsia="宋体" w:cs="宋体"/>
                <w:color w:val="333333"/>
                <w:kern w:val="0"/>
                <w:sz w:val="24"/>
                <w:szCs w:val="24"/>
              </w:rPr>
            </w:pPr>
            <w:r>
              <w:rPr>
                <w:rFonts w:hint="eastAsia" w:ascii="宋体" w:hAnsi="Calibri" w:eastAsia="宋体" w:cs="Times New Roman"/>
                <w:color w:val="000000"/>
                <w:kern w:val="0"/>
                <w:sz w:val="24"/>
                <w:szCs w:val="24"/>
              </w:rPr>
              <w:t> 0</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r>
      <w:tr>
        <w:tblPrEx>
          <w:tblCellMar>
            <w:top w:w="0" w:type="dxa"/>
            <w:left w:w="108" w:type="dxa"/>
            <w:bottom w:w="0" w:type="dxa"/>
            <w:right w:w="108" w:type="dxa"/>
          </w:tblCellMar>
        </w:tblPrEx>
        <w:trPr>
          <w:trHeight w:val="57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规范性文件</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xml:space="preserve">  0</w:t>
            </w:r>
          </w:p>
        </w:tc>
        <w:tc>
          <w:tcPr>
            <w:tcW w:w="1985" w:type="dxa"/>
            <w:tcBorders>
              <w:top w:val="nil"/>
              <w:left w:val="nil"/>
              <w:bottom w:val="single" w:color="auto" w:sz="4" w:space="0"/>
              <w:right w:val="single" w:color="auto" w:sz="4" w:space="0"/>
            </w:tcBorders>
            <w:vAlign w:val="center"/>
          </w:tcPr>
          <w:p>
            <w:pPr>
              <w:widowControl/>
              <w:spacing w:line="360" w:lineRule="auto"/>
              <w:jc w:val="left"/>
              <w:rPr>
                <w:rFonts w:ascii="宋体" w:hAnsi="宋体" w:eastAsia="宋体" w:cs="宋体"/>
                <w:color w:val="333333"/>
                <w:kern w:val="0"/>
                <w:sz w:val="24"/>
                <w:szCs w:val="24"/>
              </w:rPr>
            </w:pPr>
            <w:r>
              <w:rPr>
                <w:rFonts w:hint="eastAsia" w:ascii="宋体" w:hAnsi="Calibri" w:eastAsia="宋体" w:cs="Times New Roman"/>
                <w:color w:val="000000"/>
                <w:kern w:val="0"/>
                <w:sz w:val="24"/>
                <w:szCs w:val="24"/>
              </w:rPr>
              <w:t> 0</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r>
      <w:tr>
        <w:tblPrEx>
          <w:tblCellMar>
            <w:top w:w="0" w:type="dxa"/>
            <w:left w:w="108" w:type="dxa"/>
            <w:bottom w:w="0" w:type="dxa"/>
            <w:right w:w="108" w:type="dxa"/>
          </w:tblCellMar>
        </w:tblPrEx>
        <w:trPr>
          <w:trHeight w:val="480"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b/>
                <w:color w:val="333333"/>
                <w:kern w:val="0"/>
                <w:sz w:val="24"/>
                <w:szCs w:val="24"/>
              </w:rPr>
              <w:t>第二十条第（五）项</w:t>
            </w:r>
          </w:p>
        </w:tc>
      </w:tr>
      <w:tr>
        <w:tblPrEx>
          <w:tblCellMar>
            <w:top w:w="0" w:type="dxa"/>
            <w:left w:w="108" w:type="dxa"/>
            <w:bottom w:w="0" w:type="dxa"/>
            <w:right w:w="108" w:type="dxa"/>
          </w:tblCellMar>
        </w:tblPrEx>
        <w:trPr>
          <w:trHeight w:val="634"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上一年项目数量</w:t>
            </w:r>
          </w:p>
        </w:tc>
        <w:tc>
          <w:tcPr>
            <w:tcW w:w="198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本年增/减</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处理决定数量</w:t>
            </w:r>
          </w:p>
        </w:tc>
      </w:tr>
      <w:tr>
        <w:tblPrEx>
          <w:tblCellMar>
            <w:top w:w="0" w:type="dxa"/>
            <w:left w:w="108" w:type="dxa"/>
            <w:bottom w:w="0" w:type="dxa"/>
            <w:right w:w="108" w:type="dxa"/>
          </w:tblCellMar>
        </w:tblPrEx>
        <w:trPr>
          <w:trHeight w:val="670"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行政许可</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c>
          <w:tcPr>
            <w:tcW w:w="1985"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+14</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r>
      <w:tr>
        <w:tblPrEx>
          <w:tblCellMar>
            <w:top w:w="0" w:type="dxa"/>
            <w:left w:w="108" w:type="dxa"/>
            <w:bottom w:w="0" w:type="dxa"/>
            <w:right w:w="108" w:type="dxa"/>
          </w:tblCellMar>
        </w:tblPrEx>
        <w:trPr>
          <w:trHeight w:val="694"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其他对外管理服务事项</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45</w:t>
            </w:r>
          </w:p>
        </w:tc>
        <w:tc>
          <w:tcPr>
            <w:tcW w:w="1985"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0</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35</w:t>
            </w:r>
          </w:p>
        </w:tc>
      </w:tr>
      <w:tr>
        <w:tblPrEx>
          <w:tblCellMar>
            <w:top w:w="0" w:type="dxa"/>
            <w:left w:w="108" w:type="dxa"/>
            <w:bottom w:w="0" w:type="dxa"/>
            <w:right w:w="108" w:type="dxa"/>
          </w:tblCellMar>
        </w:tblPrEx>
        <w:trPr>
          <w:trHeight w:val="406"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b/>
                <w:color w:val="333333"/>
                <w:kern w:val="0"/>
                <w:sz w:val="24"/>
                <w:szCs w:val="24"/>
              </w:rPr>
              <w:t>第二十条第（六）项</w:t>
            </w:r>
          </w:p>
        </w:tc>
      </w:tr>
      <w:tr>
        <w:tblPrEx>
          <w:tblCellMar>
            <w:top w:w="0" w:type="dxa"/>
            <w:left w:w="108" w:type="dxa"/>
            <w:bottom w:w="0" w:type="dxa"/>
            <w:right w:w="108" w:type="dxa"/>
          </w:tblCellMar>
        </w:tblPrEx>
        <w:trPr>
          <w:trHeight w:val="634"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上一年项目数量</w:t>
            </w:r>
          </w:p>
        </w:tc>
        <w:tc>
          <w:tcPr>
            <w:tcW w:w="198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本年增/减</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处理决定数量</w:t>
            </w:r>
          </w:p>
        </w:tc>
      </w:tr>
      <w:tr>
        <w:tblPrEx>
          <w:tblCellMar>
            <w:top w:w="0" w:type="dxa"/>
            <w:left w:w="108" w:type="dxa"/>
            <w:bottom w:w="0" w:type="dxa"/>
            <w:right w:w="108" w:type="dxa"/>
          </w:tblCellMar>
        </w:tblPrEx>
        <w:trPr>
          <w:trHeight w:val="564"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行政处罚</w:t>
            </w:r>
          </w:p>
        </w:tc>
        <w:tc>
          <w:tcPr>
            <w:tcW w:w="1984"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c>
          <w:tcPr>
            <w:tcW w:w="1985" w:type="dxa"/>
            <w:tcBorders>
              <w:top w:val="single" w:color="auto" w:sz="4" w:space="0"/>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+36</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r>
      <w:tr>
        <w:tblPrEx>
          <w:tblCellMar>
            <w:top w:w="0" w:type="dxa"/>
            <w:left w:w="108" w:type="dxa"/>
            <w:bottom w:w="0" w:type="dxa"/>
            <w:right w:w="108" w:type="dxa"/>
          </w:tblCellMar>
        </w:tblPrEx>
        <w:trPr>
          <w:trHeight w:val="57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行政强制</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c>
          <w:tcPr>
            <w:tcW w:w="1985"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r>
      <w:tr>
        <w:tblPrEx>
          <w:tblCellMar>
            <w:top w:w="0" w:type="dxa"/>
            <w:left w:w="108" w:type="dxa"/>
            <w:bottom w:w="0" w:type="dxa"/>
            <w:right w:w="108" w:type="dxa"/>
          </w:tblCellMar>
        </w:tblPrEx>
        <w:trPr>
          <w:trHeight w:val="474"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b/>
                <w:color w:val="333333"/>
                <w:kern w:val="0"/>
                <w:sz w:val="24"/>
                <w:szCs w:val="24"/>
              </w:rPr>
              <w:t>第二十条第（八）项</w:t>
            </w:r>
          </w:p>
        </w:tc>
      </w:tr>
      <w:tr>
        <w:tblPrEx>
          <w:tblCellMar>
            <w:top w:w="0" w:type="dxa"/>
            <w:left w:w="108" w:type="dxa"/>
            <w:bottom w:w="0" w:type="dxa"/>
            <w:right w:w="108" w:type="dxa"/>
          </w:tblCellMar>
        </w:tblPrEx>
        <w:trPr>
          <w:trHeight w:val="270"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上一年项目数量</w:t>
            </w:r>
          </w:p>
        </w:tc>
        <w:tc>
          <w:tcPr>
            <w:tcW w:w="3969" w:type="dxa"/>
            <w:gridSpan w:val="2"/>
            <w:tcBorders>
              <w:top w:val="single" w:color="auto" w:sz="4" w:space="0"/>
              <w:left w:val="nil"/>
              <w:bottom w:val="single" w:color="auto" w:sz="4" w:space="0"/>
              <w:right w:val="single" w:color="000000"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本年增/减</w:t>
            </w:r>
          </w:p>
        </w:tc>
      </w:tr>
      <w:tr>
        <w:tblPrEx>
          <w:tblCellMar>
            <w:top w:w="0" w:type="dxa"/>
            <w:left w:w="108" w:type="dxa"/>
            <w:bottom w:w="0" w:type="dxa"/>
            <w:right w:w="108" w:type="dxa"/>
          </w:tblCellMar>
        </w:tblPrEx>
        <w:trPr>
          <w:trHeight w:val="722"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行政事业性收费</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0</w:t>
            </w:r>
          </w:p>
        </w:tc>
        <w:tc>
          <w:tcPr>
            <w:tcW w:w="3969" w:type="dxa"/>
            <w:gridSpan w:val="2"/>
            <w:tcBorders>
              <w:top w:val="single" w:color="auto" w:sz="4" w:space="0"/>
              <w:left w:val="nil"/>
              <w:bottom w:val="single" w:color="auto" w:sz="4" w:space="0"/>
              <w:right w:val="single" w:color="000000"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Calibri" w:eastAsia="宋体" w:cs="Times New Roman"/>
                <w:color w:val="000000"/>
                <w:kern w:val="0"/>
                <w:sz w:val="24"/>
                <w:szCs w:val="24"/>
              </w:rPr>
              <w:t>0 </w:t>
            </w:r>
          </w:p>
        </w:tc>
      </w:tr>
      <w:tr>
        <w:tblPrEx>
          <w:tblCellMar>
            <w:top w:w="0" w:type="dxa"/>
            <w:left w:w="108" w:type="dxa"/>
            <w:bottom w:w="0" w:type="dxa"/>
            <w:right w:w="108" w:type="dxa"/>
          </w:tblCellMar>
        </w:tblPrEx>
        <w:trPr>
          <w:trHeight w:val="476" w:hRule="atLeast"/>
          <w:jc w:val="center"/>
        </w:trPr>
        <w:tc>
          <w:tcPr>
            <w:tcW w:w="870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b/>
                <w:color w:val="333333"/>
                <w:kern w:val="0"/>
                <w:sz w:val="24"/>
                <w:szCs w:val="24"/>
              </w:rPr>
              <w:t>第二十条第（九）项</w:t>
            </w:r>
          </w:p>
        </w:tc>
      </w:tr>
      <w:tr>
        <w:tblPrEx>
          <w:tblCellMar>
            <w:top w:w="0" w:type="dxa"/>
            <w:left w:w="108" w:type="dxa"/>
            <w:bottom w:w="0" w:type="dxa"/>
            <w:right w:w="108" w:type="dxa"/>
          </w:tblCellMar>
        </w:tblPrEx>
        <w:trPr>
          <w:trHeight w:val="585"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信息内容</w:t>
            </w:r>
          </w:p>
        </w:tc>
        <w:tc>
          <w:tcPr>
            <w:tcW w:w="1984" w:type="dxa"/>
            <w:tcBorders>
              <w:top w:val="nil"/>
              <w:left w:val="nil"/>
              <w:bottom w:val="single" w:color="auto" w:sz="4" w:space="0"/>
              <w:right w:val="single" w:color="auto"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采购项目数量</w:t>
            </w:r>
          </w:p>
        </w:tc>
        <w:tc>
          <w:tcPr>
            <w:tcW w:w="3969" w:type="dxa"/>
            <w:gridSpan w:val="2"/>
            <w:tcBorders>
              <w:top w:val="single" w:color="auto" w:sz="4" w:space="0"/>
              <w:left w:val="nil"/>
              <w:bottom w:val="single" w:color="auto" w:sz="4" w:space="0"/>
              <w:right w:val="single" w:color="000000" w:sz="4" w:space="0"/>
            </w:tcBorders>
            <w:noWrap/>
            <w:vAlign w:val="center"/>
          </w:tcPr>
          <w:p>
            <w:pPr>
              <w:widowControl/>
              <w:spacing w:line="36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4"/>
                <w:szCs w:val="24"/>
              </w:rPr>
              <w:t>采购总金额</w:t>
            </w:r>
          </w:p>
        </w:tc>
      </w:tr>
      <w:tr>
        <w:trPr>
          <w:trHeight w:val="748" w:hRule="atLeast"/>
          <w:jc w:val="center"/>
        </w:trPr>
        <w:tc>
          <w:tcPr>
            <w:tcW w:w="2752" w:type="dxa"/>
            <w:tcBorders>
              <w:top w:val="nil"/>
              <w:left w:val="single" w:color="auto" w:sz="4" w:space="0"/>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政府集中采购</w:t>
            </w:r>
          </w:p>
        </w:tc>
        <w:tc>
          <w:tcPr>
            <w:tcW w:w="1984" w:type="dxa"/>
            <w:tcBorders>
              <w:top w:val="nil"/>
              <w:left w:val="nil"/>
              <w:bottom w:val="single" w:color="auto" w:sz="4" w:space="0"/>
              <w:right w:val="single" w:color="auto"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color w:val="000000"/>
                <w:kern w:val="0"/>
                <w:sz w:val="24"/>
                <w:szCs w:val="24"/>
              </w:rPr>
              <w:t>　34</w:t>
            </w:r>
          </w:p>
        </w:tc>
        <w:tc>
          <w:tcPr>
            <w:tcW w:w="3969" w:type="dxa"/>
            <w:gridSpan w:val="2"/>
            <w:tcBorders>
              <w:top w:val="single" w:color="auto" w:sz="4" w:space="0"/>
              <w:left w:val="nil"/>
              <w:bottom w:val="single" w:color="auto" w:sz="4" w:space="0"/>
              <w:right w:val="single" w:color="000000" w:sz="4" w:space="0"/>
            </w:tcBorders>
            <w:noWrap/>
            <w:vAlign w:val="center"/>
          </w:tcPr>
          <w:p>
            <w:pPr>
              <w:widowControl/>
              <w:spacing w:line="360" w:lineRule="auto"/>
              <w:jc w:val="left"/>
              <w:rPr>
                <w:rFonts w:ascii="宋体" w:hAnsi="宋体" w:eastAsia="宋体" w:cs="宋体"/>
                <w:color w:val="333333"/>
                <w:kern w:val="0"/>
                <w:sz w:val="24"/>
                <w:szCs w:val="24"/>
              </w:rPr>
            </w:pPr>
            <w:r>
              <w:rPr>
                <w:rFonts w:hint="eastAsia" w:ascii="宋体" w:hAnsi="宋体" w:eastAsia="宋体" w:cs="宋体"/>
                <w:kern w:val="0"/>
                <w:sz w:val="24"/>
                <w:szCs w:val="24"/>
              </w:rPr>
              <w:t>2844.28万元</w:t>
            </w:r>
          </w:p>
        </w:tc>
      </w:tr>
    </w:tbl>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黑体" w:hAnsi="黑体" w:eastAsia="黑体"/>
          <w:sz w:val="32"/>
          <w:szCs w:val="32"/>
        </w:rPr>
        <w:sectPr>
          <w:pgSz w:w="11906" w:h="16838"/>
          <w:pgMar w:top="1440" w:right="1800" w:bottom="1440" w:left="1800" w:header="851" w:footer="992" w:gutter="0"/>
          <w:cols w:space="425" w:num="1"/>
          <w:docGrid w:type="lines" w:linePitch="312" w:charSpace="0"/>
        </w:sect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三、收到和处理政府信息公开申请情况</w:t>
      </w:r>
    </w:p>
    <w:tbl>
      <w:tblPr>
        <w:tblStyle w:val="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855"/>
        <w:gridCol w:w="2130"/>
        <w:gridCol w:w="825"/>
        <w:gridCol w:w="765"/>
        <w:gridCol w:w="765"/>
        <w:gridCol w:w="825"/>
        <w:gridCol w:w="990"/>
        <w:gridCol w:w="720"/>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79"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（本列数据的勾稽关系为：第一项加第二项之和，等于第三项加第四项之和）</w:t>
            </w:r>
          </w:p>
        </w:tc>
        <w:tc>
          <w:tcPr>
            <w:tcW w:w="5592" w:type="dxa"/>
            <w:gridSpan w:val="7"/>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25" w:type="dxa"/>
            <w:vMerge w:val="restart"/>
            <w:tcBorders>
              <w:top w:val="nil"/>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自然人</w:t>
            </w:r>
          </w:p>
        </w:tc>
        <w:tc>
          <w:tcPr>
            <w:tcW w:w="4065"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法人或其他组织</w:t>
            </w:r>
          </w:p>
        </w:tc>
        <w:tc>
          <w:tcPr>
            <w:tcW w:w="702"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2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商业企业</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科研机构</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社会公益组织</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法律服务机构</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其他</w:t>
            </w:r>
          </w:p>
        </w:tc>
        <w:tc>
          <w:tcPr>
            <w:tcW w:w="702"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479"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Calibri" w:hAnsi="Calibri" w:eastAsia="宋体" w:cs="Times New Roman"/>
                <w:color w:val="333333"/>
                <w:szCs w:val="21"/>
              </w:rPr>
              <w:t>一、本年新收政府信息公开申请数量</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479"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Calibri" w:hAnsi="Calibri" w:eastAsia="宋体" w:cs="Times New Roman"/>
                <w:color w:val="333333"/>
                <w:szCs w:val="21"/>
              </w:rPr>
              <w:t>二、上年结转政府信息公开申请数量</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94"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三、本年度办理结果</w:t>
            </w:r>
          </w:p>
        </w:tc>
        <w:tc>
          <w:tcPr>
            <w:tcW w:w="2985"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（一）予以公开</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985"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（二）部分公开（区分处理的，只计这一情形，不计其他情形）</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restart"/>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（三）不予公开</w:t>
            </w: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1.属于国家秘密</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2.其他法律行政法规禁止公开</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3.危及“三安全一稳定”</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4.保护第三方合法权益</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5.属于三类内部事务信息</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6.属于四类过程性信息</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7.属于行政执法案卷</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8.属于行政查询事项</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restart"/>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（四）无法提供</w:t>
            </w: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1.本机关不掌握相关政府信息</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2.没有现成信息需要另行制作</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3.补正后申请内容仍不明确</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restart"/>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（五）不予处理</w:t>
            </w: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1.信访举报投诉类申请</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2.重复申请</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3.要求提供公开出版物</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4.无正当理由大量反复申请</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855"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13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5.要求行政机关确认或重新出具已获取信息</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985"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（六）其他处理</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p>
        </w:tc>
        <w:tc>
          <w:tcPr>
            <w:tcW w:w="2985"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楷体" w:hAnsi="楷体" w:eastAsia="楷体" w:cs="宋体"/>
                <w:color w:val="333333"/>
                <w:szCs w:val="21"/>
              </w:rPr>
              <w:t>（七）总计</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9"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Calibri" w:hAnsi="Calibri" w:eastAsia="宋体" w:cs="Times New Roman"/>
                <w:color w:val="333333"/>
                <w:szCs w:val="21"/>
              </w:rPr>
              <w:t>四、结转下年度继续办理</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hint="eastAsia" w:ascii="Calibri" w:hAnsi="Calibri" w:eastAsia="宋体" w:cs="Times New Roman"/>
                <w:color w:val="333333"/>
                <w:szCs w:val="21"/>
              </w:rPr>
              <w:t>0</w:t>
            </w:r>
            <w:r>
              <w:rPr>
                <w:rFonts w:ascii="Calibri" w:hAnsi="Calibri" w:eastAsia="宋体" w:cs="Times New Roman"/>
                <w:color w:val="333333"/>
                <w:szCs w:val="21"/>
              </w:rPr>
              <w:t> </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Cs w:val="21"/>
              </w:rPr>
            </w:pPr>
            <w:r>
              <w:rPr>
                <w:rFonts w:ascii="Calibri" w:hAnsi="Calibri" w:eastAsia="宋体" w:cs="Times New Roman"/>
                <w:color w:val="333333"/>
                <w:szCs w:val="21"/>
              </w:rPr>
              <w:t> </w:t>
            </w:r>
            <w:r>
              <w:rPr>
                <w:rFonts w:hint="eastAsia" w:ascii="Calibri" w:hAnsi="Calibri" w:eastAsia="宋体" w:cs="Times New Roman"/>
                <w:color w:val="333333"/>
                <w:szCs w:val="21"/>
              </w:rPr>
              <w:t>0</w:t>
            </w:r>
          </w:p>
        </w:tc>
        <w:tc>
          <w:tcPr>
            <w:tcW w:w="70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Cs w:val="21"/>
              </w:rPr>
            </w:pPr>
            <w:r>
              <w:rPr>
                <w:rFonts w:hint="eastAsia" w:ascii="宋体" w:hAnsi="宋体" w:eastAsia="宋体" w:cs="宋体"/>
                <w:color w:val="333333"/>
                <w:kern w:val="0"/>
                <w:szCs w:val="21"/>
              </w:rPr>
              <w:t>0</w:t>
            </w:r>
          </w:p>
        </w:tc>
      </w:tr>
    </w:tbl>
    <w:p>
      <w:pPr>
        <w:spacing w:line="560" w:lineRule="exact"/>
        <w:ind w:firstLine="640" w:firstLineChars="200"/>
        <w:rPr>
          <w:rFonts w:ascii="黑体" w:hAnsi="黑体" w:eastAsia="黑体"/>
          <w:sz w:val="32"/>
          <w:szCs w:val="32"/>
        </w:rPr>
        <w:sectPr>
          <w:pgSz w:w="11906" w:h="16838"/>
          <w:pgMar w:top="1134" w:right="1797" w:bottom="1134" w:left="1797" w:header="851" w:footer="992" w:gutter="0"/>
          <w:cols w:space="425" w:num="1"/>
          <w:docGrid w:type="linesAndChars" w:linePitch="312" w:charSpace="0"/>
        </w:sect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四、政府信息公开行政复议、行政诉讼情况</w:t>
      </w:r>
    </w:p>
    <w:tbl>
      <w:tblPr>
        <w:tblStyle w:val="7"/>
        <w:tblW w:w="10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707"/>
        <w:gridCol w:w="707"/>
        <w:gridCol w:w="707"/>
        <w:gridCol w:w="566"/>
        <w:gridCol w:w="707"/>
        <w:gridCol w:w="706"/>
        <w:gridCol w:w="755"/>
        <w:gridCol w:w="659"/>
        <w:gridCol w:w="549"/>
        <w:gridCol w:w="725"/>
        <w:gridCol w:w="699"/>
        <w:gridCol w:w="715"/>
        <w:gridCol w:w="707"/>
        <w:gridCol w:w="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7"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行政复议</w:t>
            </w:r>
          </w:p>
        </w:tc>
        <w:tc>
          <w:tcPr>
            <w:tcW w:w="6629" w:type="dxa"/>
            <w:gridSpan w:val="10"/>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33" w:type="dxa"/>
            <w:vMerge w:val="restart"/>
            <w:tcBorders>
              <w:top w:val="nil"/>
              <w:left w:val="single" w:color="auto" w:sz="4" w:space="0"/>
              <w:bottom w:val="single" w:color="auto" w:sz="4" w:space="0"/>
              <w:right w:val="single" w:color="auto" w:sz="4" w:space="0"/>
            </w:tcBorders>
            <w:vAlign w:val="center"/>
          </w:tcPr>
          <w:p>
            <w:pPr>
              <w:widowControl/>
              <w:jc w:val="center"/>
              <w:rPr>
                <w:rFonts w:ascii="Calibri" w:hAnsi="Calibri" w:eastAsia="宋体" w:cs="Times New Roman"/>
                <w:color w:val="333333"/>
                <w:sz w:val="20"/>
                <w:szCs w:val="20"/>
              </w:rPr>
            </w:pPr>
            <w:r>
              <w:rPr>
                <w:rFonts w:hint="eastAsia" w:ascii="Calibri" w:hAnsi="Calibri" w:eastAsia="宋体" w:cs="Times New Roman"/>
                <w:color w:val="333333"/>
                <w:sz w:val="20"/>
                <w:szCs w:val="20"/>
              </w:rPr>
              <w:t>结果</w:t>
            </w:r>
          </w:p>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维持</w:t>
            </w:r>
          </w:p>
        </w:tc>
        <w:tc>
          <w:tcPr>
            <w:tcW w:w="709" w:type="dxa"/>
            <w:vMerge w:val="restart"/>
            <w:tcBorders>
              <w:top w:val="nil"/>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结果纠正</w:t>
            </w:r>
          </w:p>
        </w:tc>
        <w:tc>
          <w:tcPr>
            <w:tcW w:w="709"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其他结果</w:t>
            </w:r>
          </w:p>
        </w:tc>
        <w:tc>
          <w:tcPr>
            <w:tcW w:w="709"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尚未审结</w:t>
            </w:r>
          </w:p>
        </w:tc>
        <w:tc>
          <w:tcPr>
            <w:tcW w:w="567"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总计</w:t>
            </w:r>
          </w:p>
        </w:tc>
        <w:tc>
          <w:tcPr>
            <w:tcW w:w="3384"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未经复议直接起诉</w:t>
            </w:r>
          </w:p>
        </w:tc>
        <w:tc>
          <w:tcPr>
            <w:tcW w:w="3245"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3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709"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709"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709"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567"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333333"/>
                <w:kern w:val="0"/>
                <w:sz w:val="24"/>
                <w:szCs w:val="24"/>
              </w:rPr>
            </w:pP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结果维持</w:t>
            </w:r>
          </w:p>
        </w:tc>
        <w:tc>
          <w:tcPr>
            <w:tcW w:w="70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结果纠正</w:t>
            </w:r>
          </w:p>
        </w:tc>
        <w:tc>
          <w:tcPr>
            <w:tcW w:w="7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其他结果</w:t>
            </w:r>
          </w:p>
        </w:tc>
        <w:tc>
          <w:tcPr>
            <w:tcW w:w="661"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尚未审结</w:t>
            </w:r>
          </w:p>
        </w:tc>
        <w:tc>
          <w:tcPr>
            <w:tcW w:w="54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宋体" w:hAnsi="宋体" w:eastAsia="宋体" w:cs="宋体"/>
                <w:color w:val="000000"/>
                <w:kern w:val="0"/>
                <w:sz w:val="20"/>
                <w:szCs w:val="20"/>
              </w:rPr>
              <w:t>总计</w:t>
            </w:r>
          </w:p>
        </w:tc>
        <w:tc>
          <w:tcPr>
            <w:tcW w:w="72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结果维持</w:t>
            </w:r>
          </w:p>
        </w:tc>
        <w:tc>
          <w:tcPr>
            <w:tcW w:w="701"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结果纠正</w:t>
            </w:r>
          </w:p>
        </w:tc>
        <w:tc>
          <w:tcPr>
            <w:tcW w:w="71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宋体" w:hAnsi="宋体" w:eastAsia="宋体" w:cs="宋体"/>
                <w:color w:val="000000"/>
                <w:kern w:val="0"/>
                <w:sz w:val="20"/>
                <w:szCs w:val="20"/>
              </w:rPr>
              <w:t>其他结果</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尚未审结</w:t>
            </w:r>
          </w:p>
        </w:tc>
        <w:tc>
          <w:tcPr>
            <w:tcW w:w="392"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333333"/>
                <w:kern w:val="0"/>
                <w:sz w:val="24"/>
                <w:szCs w:val="24"/>
              </w:rPr>
            </w:pPr>
            <w:r>
              <w:rPr>
                <w:rFonts w:hint="eastAsia" w:ascii="宋体" w:hAnsi="宋体" w:eastAsia="宋体" w:cs="宋体"/>
                <w:color w:val="000000"/>
                <w:kern w:val="0"/>
                <w:sz w:val="20"/>
                <w:szCs w:val="20"/>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ascii="Calibri" w:hAnsi="Calibri" w:eastAsia="宋体" w:cs="Times New Roman"/>
                <w:color w:val="333333"/>
                <w:sz w:val="20"/>
                <w:szCs w:val="20"/>
              </w:rPr>
              <w:t>0 </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ascii="Calibri" w:hAnsi="Calibri" w:eastAsia="宋体" w:cs="Times New Roman"/>
                <w:color w:val="333333"/>
                <w:sz w:val="20"/>
                <w:szCs w:val="20"/>
              </w:rPr>
              <w:t> 0</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ascii="Calibri" w:hAnsi="Calibri" w:eastAsia="宋体" w:cs="Times New Roman"/>
                <w:color w:val="333333"/>
                <w:sz w:val="20"/>
                <w:szCs w:val="20"/>
              </w:rPr>
              <w:t>0 </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ascii="Calibri" w:hAnsi="Calibri" w:eastAsia="宋体" w:cs="Times New Roman"/>
                <w:color w:val="333333"/>
                <w:sz w:val="20"/>
                <w:szCs w:val="20"/>
              </w:rPr>
              <w:t> 0</w:t>
            </w:r>
          </w:p>
        </w:tc>
        <w:tc>
          <w:tcPr>
            <w:tcW w:w="567"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ascii="Calibri" w:hAnsi="Calibri" w:eastAsia="宋体" w:cs="Times New Roman"/>
                <w:color w:val="333333"/>
                <w:sz w:val="20"/>
                <w:szCs w:val="20"/>
              </w:rPr>
              <w:t> </w:t>
            </w:r>
            <w:r>
              <w:rPr>
                <w:rFonts w:hint="eastAsia" w:ascii="Calibri" w:hAnsi="Calibri" w:eastAsia="宋体" w:cs="Times New Roman"/>
                <w:color w:val="333333"/>
                <w:sz w:val="20"/>
                <w:szCs w:val="20"/>
              </w:rPr>
              <w:t>0</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ascii="Calibri" w:hAnsi="Calibri" w:eastAsia="宋体" w:cs="Times New Roman"/>
                <w:color w:val="333333"/>
                <w:sz w:val="20"/>
                <w:szCs w:val="20"/>
              </w:rPr>
              <w:t>0</w:t>
            </w:r>
            <w:r>
              <w:rPr>
                <w:rFonts w:hint="eastAsia" w:ascii="Calibri" w:hAnsi="Calibri" w:eastAsia="宋体" w:cs="Times New Roman"/>
                <w:color w:val="333333"/>
                <w:sz w:val="20"/>
                <w:szCs w:val="20"/>
              </w:rPr>
              <w:t> </w:t>
            </w:r>
          </w:p>
        </w:tc>
        <w:tc>
          <w:tcPr>
            <w:tcW w:w="708"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 </w:t>
            </w:r>
            <w:r>
              <w:rPr>
                <w:rFonts w:ascii="Calibri" w:hAnsi="Calibri" w:eastAsia="宋体" w:cs="Times New Roman"/>
                <w:color w:val="333333"/>
                <w:sz w:val="20"/>
                <w:szCs w:val="20"/>
              </w:rPr>
              <w:t>0</w:t>
            </w:r>
          </w:p>
        </w:tc>
        <w:tc>
          <w:tcPr>
            <w:tcW w:w="757"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ascii="Calibri" w:hAnsi="Calibri" w:eastAsia="宋体" w:cs="Times New Roman"/>
                <w:color w:val="333333"/>
                <w:sz w:val="20"/>
                <w:szCs w:val="20"/>
              </w:rPr>
              <w:t>0</w:t>
            </w:r>
            <w:r>
              <w:rPr>
                <w:rFonts w:hint="eastAsia" w:ascii="Calibri" w:hAnsi="Calibri" w:eastAsia="宋体" w:cs="Times New Roman"/>
                <w:color w:val="333333"/>
                <w:sz w:val="20"/>
                <w:szCs w:val="20"/>
              </w:rPr>
              <w:t> </w:t>
            </w:r>
          </w:p>
        </w:tc>
        <w:tc>
          <w:tcPr>
            <w:tcW w:w="661"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ascii="Calibri" w:hAnsi="Calibri" w:eastAsia="宋体" w:cs="Times New Roman"/>
                <w:color w:val="333333"/>
                <w:sz w:val="20"/>
                <w:szCs w:val="20"/>
              </w:rPr>
              <w:t>0</w:t>
            </w:r>
            <w:r>
              <w:rPr>
                <w:rFonts w:hint="eastAsia" w:ascii="Calibri" w:hAnsi="Calibri" w:eastAsia="宋体" w:cs="Times New Roman"/>
                <w:color w:val="333333"/>
                <w:sz w:val="20"/>
                <w:szCs w:val="20"/>
              </w:rPr>
              <w:t> </w:t>
            </w:r>
          </w:p>
        </w:tc>
        <w:tc>
          <w:tcPr>
            <w:tcW w:w="54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宋体" w:hAnsi="宋体" w:eastAsia="宋体" w:cs="宋体"/>
                <w:color w:val="000000"/>
                <w:kern w:val="0"/>
                <w:sz w:val="20"/>
                <w:szCs w:val="20"/>
              </w:rPr>
              <w:t>0 </w:t>
            </w:r>
          </w:p>
        </w:tc>
        <w:tc>
          <w:tcPr>
            <w:tcW w:w="727"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 </w:t>
            </w:r>
            <w:r>
              <w:rPr>
                <w:rFonts w:ascii="Calibri" w:hAnsi="Calibri" w:eastAsia="宋体" w:cs="Times New Roman"/>
                <w:color w:val="333333"/>
                <w:sz w:val="20"/>
                <w:szCs w:val="20"/>
              </w:rPr>
              <w:t>0</w:t>
            </w:r>
          </w:p>
        </w:tc>
        <w:tc>
          <w:tcPr>
            <w:tcW w:w="701"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 </w:t>
            </w:r>
            <w:r>
              <w:rPr>
                <w:rFonts w:ascii="Calibri" w:hAnsi="Calibri" w:eastAsia="宋体" w:cs="Times New Roman"/>
                <w:color w:val="333333"/>
                <w:sz w:val="20"/>
                <w:szCs w:val="20"/>
              </w:rPr>
              <w:t>0</w:t>
            </w:r>
          </w:p>
        </w:tc>
        <w:tc>
          <w:tcPr>
            <w:tcW w:w="716"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ascii="宋体" w:hAnsi="宋体" w:eastAsia="宋体" w:cs="宋体"/>
                <w:color w:val="000000"/>
                <w:kern w:val="0"/>
                <w:sz w:val="20"/>
                <w:szCs w:val="20"/>
              </w:rPr>
              <w:t>0</w:t>
            </w:r>
            <w:r>
              <w:rPr>
                <w:rFonts w:hint="eastAsia" w:ascii="宋体" w:hAnsi="宋体" w:eastAsia="宋体" w:cs="宋体"/>
                <w:color w:val="000000"/>
                <w:kern w:val="0"/>
                <w:sz w:val="20"/>
                <w:szCs w:val="20"/>
              </w:rPr>
              <w:t> </w:t>
            </w:r>
          </w:p>
        </w:tc>
        <w:tc>
          <w:tcPr>
            <w:tcW w:w="709" w:type="dxa"/>
            <w:tcBorders>
              <w:top w:val="single" w:color="auto" w:sz="4" w:space="0"/>
              <w:left w:val="nil"/>
              <w:bottom w:val="single" w:color="auto" w:sz="4" w:space="0"/>
              <w:right w:val="single" w:color="auto" w:sz="4" w:space="0"/>
            </w:tcBorders>
            <w:vAlign w:val="center"/>
          </w:tcPr>
          <w:p>
            <w:pPr>
              <w:widowControl/>
              <w:spacing w:before="100" w:beforeAutospacing="1" w:after="180" w:line="480" w:lineRule="auto"/>
              <w:jc w:val="center"/>
              <w:rPr>
                <w:rFonts w:ascii="宋体" w:hAnsi="宋体" w:eastAsia="宋体" w:cs="宋体"/>
                <w:color w:val="333333"/>
                <w:kern w:val="0"/>
                <w:sz w:val="24"/>
                <w:szCs w:val="24"/>
              </w:rPr>
            </w:pPr>
            <w:r>
              <w:rPr>
                <w:rFonts w:hint="eastAsia" w:ascii="Calibri" w:hAnsi="Calibri" w:eastAsia="宋体" w:cs="Times New Roman"/>
                <w:color w:val="333333"/>
                <w:sz w:val="20"/>
                <w:szCs w:val="20"/>
              </w:rPr>
              <w:t> </w:t>
            </w:r>
            <w:r>
              <w:rPr>
                <w:rFonts w:ascii="Calibri" w:hAnsi="Calibri" w:eastAsia="宋体" w:cs="Times New Roman"/>
                <w:color w:val="333333"/>
                <w:sz w:val="20"/>
                <w:szCs w:val="20"/>
              </w:rPr>
              <w:t>0</w:t>
            </w:r>
          </w:p>
        </w:tc>
        <w:tc>
          <w:tcPr>
            <w:tcW w:w="392" w:type="dxa"/>
            <w:tcBorders>
              <w:top w:val="single" w:color="auto" w:sz="4" w:space="0"/>
              <w:left w:val="nil"/>
              <w:bottom w:val="single" w:color="auto" w:sz="4" w:space="0"/>
              <w:right w:val="single" w:color="auto" w:sz="4" w:space="0"/>
            </w:tcBorders>
            <w:vAlign w:val="center"/>
          </w:tcPr>
          <w:p>
            <w:pPr>
              <w:widowControl/>
              <w:spacing w:line="480" w:lineRule="auto"/>
              <w:jc w:val="left"/>
              <w:rPr>
                <w:rFonts w:ascii="宋体" w:hAnsi="宋体" w:eastAsia="宋体" w:cs="宋体"/>
                <w:color w:val="333333"/>
                <w:kern w:val="0"/>
                <w:szCs w:val="21"/>
              </w:rPr>
            </w:pPr>
            <w:r>
              <w:rPr>
                <w:rFonts w:hint="eastAsia" w:ascii="宋体" w:hAnsi="宋体" w:eastAsia="宋体" w:cs="宋体"/>
                <w:color w:val="333333"/>
                <w:kern w:val="0"/>
                <w:szCs w:val="21"/>
              </w:rPr>
              <w:t>0</w:t>
            </w:r>
          </w:p>
        </w:tc>
      </w:tr>
    </w:tbl>
    <w:p>
      <w:pPr>
        <w:spacing w:line="560" w:lineRule="exact"/>
        <w:rPr>
          <w:rFonts w:ascii="黑体" w:hAnsi="黑体" w:eastAsia="黑体"/>
          <w:sz w:val="32"/>
          <w:szCs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五、存在的主要问题及改进情况</w:t>
      </w:r>
    </w:p>
    <w:p>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（一）主要问题</w:t>
      </w:r>
    </w:p>
    <w:p>
      <w:pPr>
        <w:spacing w:line="560" w:lineRule="exact"/>
        <w:ind w:firstLine="640" w:firstLineChars="200"/>
        <w:rPr>
          <w:rFonts w:ascii="楷体_GB2312" w:hAnsi="黑体" w:eastAsia="微软雅黑"/>
          <w:sz w:val="32"/>
          <w:szCs w:val="32"/>
        </w:rPr>
      </w:pPr>
      <w:r>
        <w:rPr>
          <w:rFonts w:ascii="仿宋_GB2312" w:hAnsi="宋体" w:eastAsia="仿宋_GB2312" w:cs="仿宋_GB2312"/>
          <w:color w:val="333333"/>
          <w:sz w:val="32"/>
          <w:szCs w:val="32"/>
          <w:shd w:val="clear" w:color="auto" w:fill="FFFFFF"/>
        </w:rPr>
        <w:t>2020年，</w:t>
      </w:r>
      <w:r>
        <w:rPr>
          <w:rFonts w:hint="eastAsia" w:ascii="仿宋_GB2312" w:hAnsi="宋体" w:eastAsia="仿宋_GB2312" w:cs="仿宋_GB2312"/>
          <w:color w:val="333333"/>
          <w:sz w:val="32"/>
          <w:szCs w:val="32"/>
          <w:shd w:val="clear" w:color="auto" w:fill="FFFFFF"/>
        </w:rPr>
        <w:t>高青县文化和旅游局</w:t>
      </w:r>
      <w:r>
        <w:rPr>
          <w:rFonts w:ascii="仿宋_GB2312" w:hAnsi="宋体" w:eastAsia="仿宋_GB2312" w:cs="仿宋_GB2312"/>
          <w:color w:val="333333"/>
          <w:sz w:val="32"/>
          <w:szCs w:val="32"/>
          <w:shd w:val="clear" w:color="auto" w:fill="FFFFFF"/>
        </w:rPr>
        <w:t>政府信息公开工作</w:t>
      </w:r>
      <w:r>
        <w:rPr>
          <w:rFonts w:hint="eastAsia" w:ascii="仿宋_GB2312" w:hAnsi="宋体" w:eastAsia="仿宋_GB2312" w:cs="仿宋_GB2312"/>
          <w:color w:val="333333"/>
          <w:sz w:val="32"/>
          <w:szCs w:val="32"/>
          <w:shd w:val="clear" w:color="auto" w:fill="FFFFFF"/>
        </w:rPr>
        <w:t>虽然</w:t>
      </w:r>
      <w:r>
        <w:rPr>
          <w:rFonts w:ascii="仿宋_GB2312" w:hAnsi="宋体" w:eastAsia="仿宋_GB2312" w:cs="仿宋_GB2312"/>
          <w:color w:val="333333"/>
          <w:sz w:val="32"/>
          <w:szCs w:val="32"/>
          <w:shd w:val="clear" w:color="auto" w:fill="FFFFFF"/>
        </w:rPr>
        <w:t>取得</w:t>
      </w:r>
      <w:r>
        <w:rPr>
          <w:rFonts w:hint="eastAsia" w:ascii="仿宋_GB2312" w:hAnsi="宋体" w:eastAsia="仿宋_GB2312" w:cs="仿宋_GB2312"/>
          <w:color w:val="333333"/>
          <w:sz w:val="32"/>
          <w:szCs w:val="32"/>
          <w:shd w:val="clear" w:color="auto" w:fill="FFFFFF"/>
        </w:rPr>
        <w:t>了</w:t>
      </w:r>
      <w:r>
        <w:rPr>
          <w:rFonts w:ascii="仿宋_GB2312" w:hAnsi="宋体" w:eastAsia="仿宋_GB2312" w:cs="仿宋_GB2312"/>
          <w:color w:val="333333"/>
          <w:sz w:val="32"/>
          <w:szCs w:val="32"/>
          <w:shd w:val="clear" w:color="auto" w:fill="FFFFFF"/>
        </w:rPr>
        <w:t>一定</w:t>
      </w:r>
      <w:r>
        <w:rPr>
          <w:rFonts w:hint="eastAsia" w:ascii="仿宋_GB2312" w:hAnsi="宋体" w:eastAsia="仿宋_GB2312" w:cs="仿宋_GB2312"/>
          <w:color w:val="333333"/>
          <w:sz w:val="32"/>
          <w:szCs w:val="32"/>
          <w:shd w:val="clear" w:color="auto" w:fill="FFFFFF"/>
        </w:rPr>
        <w:t>的</w:t>
      </w:r>
      <w:r>
        <w:rPr>
          <w:rFonts w:ascii="仿宋_GB2312" w:hAnsi="宋体" w:eastAsia="仿宋_GB2312" w:cs="仿宋_GB2312"/>
          <w:color w:val="333333"/>
          <w:sz w:val="32"/>
          <w:szCs w:val="32"/>
          <w:shd w:val="clear" w:color="auto" w:fill="FFFFFF"/>
        </w:rPr>
        <w:t>成效，但</w:t>
      </w:r>
      <w:r>
        <w:rPr>
          <w:rFonts w:hint="eastAsia" w:ascii="仿宋_GB2312" w:hAnsi="宋体" w:eastAsia="仿宋_GB2312" w:cs="仿宋_GB2312"/>
          <w:color w:val="333333"/>
          <w:sz w:val="32"/>
          <w:szCs w:val="32"/>
          <w:shd w:val="clear" w:color="auto" w:fill="FFFFFF"/>
        </w:rPr>
        <w:t>是</w:t>
      </w:r>
      <w:r>
        <w:rPr>
          <w:rFonts w:ascii="仿宋_GB2312" w:hAnsi="宋体" w:eastAsia="仿宋_GB2312" w:cs="仿宋_GB2312"/>
          <w:color w:val="333333"/>
          <w:sz w:val="32"/>
          <w:szCs w:val="32"/>
          <w:shd w:val="clear" w:color="auto" w:fill="FFFFFF"/>
        </w:rPr>
        <w:t>也存在一些问题：一是</w:t>
      </w:r>
      <w:r>
        <w:rPr>
          <w:rFonts w:hint="eastAsia" w:ascii="仿宋_GB2312" w:hAnsi="宋体" w:eastAsia="仿宋_GB2312" w:cs="仿宋_GB2312"/>
          <w:color w:val="333333"/>
          <w:sz w:val="32"/>
          <w:szCs w:val="32"/>
          <w:shd w:val="clear" w:color="auto" w:fill="FFFFFF"/>
        </w:rPr>
        <w:t>政府信息公开的具体工作由办公室负责，但是办公室缺少专职人员负责此项工作，另工作人员业务能力和水平上有待进一步提高，政府信息公开工作的日常化、常态化情况需要进一步开展。二是各科室对部分信息是否可以公开，公开的范围、程度、方式等把握不准，对政务公开的理解还不到位。三是</w:t>
      </w:r>
      <w:r>
        <w:rPr>
          <w:rFonts w:ascii="仿宋_GB2312" w:hAnsi="宋体" w:eastAsia="仿宋_GB2312" w:cs="仿宋_GB2312"/>
          <w:color w:val="333333"/>
          <w:sz w:val="32"/>
          <w:szCs w:val="32"/>
          <w:shd w:val="clear" w:color="auto" w:fill="FFFFFF"/>
        </w:rPr>
        <w:t>政府信息公开的形式</w:t>
      </w:r>
      <w:r>
        <w:rPr>
          <w:rFonts w:hint="eastAsia" w:ascii="仿宋_GB2312" w:hAnsi="宋体" w:eastAsia="仿宋_GB2312" w:cs="仿宋_GB2312"/>
          <w:color w:val="333333"/>
          <w:sz w:val="32"/>
          <w:szCs w:val="32"/>
          <w:shd w:val="clear" w:color="auto" w:fill="FFFFFF"/>
        </w:rPr>
        <w:t>、内容</w:t>
      </w:r>
      <w:r>
        <w:rPr>
          <w:rFonts w:ascii="仿宋_GB2312" w:hAnsi="宋体" w:eastAsia="仿宋_GB2312" w:cs="仿宋_GB2312"/>
          <w:color w:val="333333"/>
          <w:sz w:val="32"/>
          <w:szCs w:val="32"/>
          <w:shd w:val="clear" w:color="auto" w:fill="FFFFFF"/>
        </w:rPr>
        <w:t>有待拓宽和创新，主动公开力度有待进一步增强。</w:t>
      </w:r>
    </w:p>
    <w:p>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（二）改进措施</w:t>
      </w:r>
    </w:p>
    <w:p>
      <w:pPr>
        <w:spacing w:line="560" w:lineRule="exact"/>
        <w:ind w:firstLine="640" w:firstLineChars="200"/>
        <w:rPr>
          <w:rFonts w:ascii="仿宋_GB2312" w:eastAsia="仿宋_GB2312"/>
          <w:sz w:val="32"/>
          <w:szCs w:val="32"/>
        </w:rPr>
      </w:pPr>
      <w:r>
        <w:rPr>
          <w:rFonts w:ascii="仿宋_GB2312" w:hAnsi="宋体" w:eastAsia="仿宋_GB2312" w:cs="仿宋_GB2312"/>
          <w:color w:val="333333"/>
          <w:sz w:val="32"/>
          <w:szCs w:val="32"/>
          <w:shd w:val="clear" w:color="auto" w:fill="FFFFFF"/>
        </w:rPr>
        <w:t>针对存在的</w:t>
      </w:r>
      <w:r>
        <w:rPr>
          <w:rFonts w:hint="eastAsia" w:ascii="仿宋_GB2312" w:hAnsi="宋体" w:eastAsia="仿宋_GB2312" w:cs="仿宋_GB2312"/>
          <w:color w:val="333333"/>
          <w:sz w:val="32"/>
          <w:szCs w:val="32"/>
          <w:shd w:val="clear" w:color="auto" w:fill="FFFFFF"/>
        </w:rPr>
        <w:t>主要</w:t>
      </w:r>
      <w:r>
        <w:rPr>
          <w:rFonts w:ascii="仿宋_GB2312" w:hAnsi="宋体" w:eastAsia="仿宋_GB2312" w:cs="仿宋_GB2312"/>
          <w:color w:val="333333"/>
          <w:sz w:val="32"/>
          <w:szCs w:val="32"/>
          <w:shd w:val="clear" w:color="auto" w:fill="FFFFFF"/>
        </w:rPr>
        <w:t>问题，我局</w:t>
      </w:r>
      <w:r>
        <w:rPr>
          <w:rFonts w:hint="eastAsia" w:ascii="仿宋_GB2312" w:hAnsi="宋体" w:eastAsia="仿宋_GB2312" w:cs="仿宋_GB2312"/>
          <w:color w:val="333333"/>
          <w:sz w:val="32"/>
          <w:szCs w:val="32"/>
          <w:shd w:val="clear" w:color="auto" w:fill="FFFFFF"/>
        </w:rPr>
        <w:t>今后</w:t>
      </w:r>
      <w:r>
        <w:rPr>
          <w:rFonts w:ascii="仿宋_GB2312" w:hAnsi="宋体" w:eastAsia="仿宋_GB2312" w:cs="仿宋_GB2312"/>
          <w:color w:val="333333"/>
          <w:sz w:val="32"/>
          <w:szCs w:val="32"/>
          <w:shd w:val="clear" w:color="auto" w:fill="FFFFFF"/>
        </w:rPr>
        <w:t>将</w:t>
      </w:r>
      <w:r>
        <w:rPr>
          <w:rFonts w:hint="eastAsia" w:ascii="仿宋_GB2312" w:hAnsi="宋体" w:eastAsia="仿宋_GB2312" w:cs="仿宋_GB2312"/>
          <w:color w:val="333333"/>
          <w:sz w:val="32"/>
          <w:szCs w:val="32"/>
          <w:shd w:val="clear" w:color="auto" w:fill="FFFFFF"/>
        </w:rPr>
        <w:t>进一步</w:t>
      </w:r>
      <w:r>
        <w:rPr>
          <w:rFonts w:ascii="仿宋_GB2312" w:hAnsi="宋体" w:eastAsia="仿宋_GB2312" w:cs="仿宋_GB2312"/>
          <w:color w:val="333333"/>
          <w:sz w:val="32"/>
          <w:szCs w:val="32"/>
          <w:shd w:val="clear" w:color="auto" w:fill="FFFFFF"/>
        </w:rPr>
        <w:t>把政府信息公开工作摆在重要位置，对工作中存在的</w:t>
      </w:r>
      <w:r>
        <w:rPr>
          <w:rFonts w:hint="eastAsia" w:ascii="仿宋_GB2312" w:hAnsi="宋体" w:eastAsia="仿宋_GB2312" w:cs="仿宋_GB2312"/>
          <w:color w:val="333333"/>
          <w:sz w:val="32"/>
          <w:szCs w:val="32"/>
          <w:shd w:val="clear" w:color="auto" w:fill="FFFFFF"/>
        </w:rPr>
        <w:t>主要问题</w:t>
      </w:r>
      <w:r>
        <w:rPr>
          <w:rFonts w:ascii="仿宋_GB2312" w:hAnsi="宋体" w:eastAsia="仿宋_GB2312" w:cs="仿宋_GB2312"/>
          <w:color w:val="333333"/>
          <w:sz w:val="32"/>
          <w:szCs w:val="32"/>
          <w:shd w:val="clear" w:color="auto" w:fill="FFFFFF"/>
        </w:rPr>
        <w:t>将从以下方面进行改进：一是加强</w:t>
      </w:r>
      <w:r>
        <w:rPr>
          <w:rFonts w:hint="eastAsia" w:ascii="仿宋_GB2312" w:hAnsi="宋体" w:eastAsia="仿宋_GB2312" w:cs="仿宋_GB2312"/>
          <w:color w:val="333333"/>
          <w:sz w:val="32"/>
          <w:szCs w:val="32"/>
          <w:shd w:val="clear" w:color="auto" w:fill="FFFFFF"/>
        </w:rPr>
        <w:t>政府</w:t>
      </w:r>
      <w:r>
        <w:rPr>
          <w:rFonts w:ascii="仿宋_GB2312" w:hAnsi="宋体" w:eastAsia="仿宋_GB2312" w:cs="仿宋_GB2312"/>
          <w:color w:val="333333"/>
          <w:sz w:val="32"/>
          <w:szCs w:val="32"/>
          <w:shd w:val="clear" w:color="auto" w:fill="FFFFFF"/>
        </w:rPr>
        <w:t>信息公开队伍建设，</w:t>
      </w:r>
      <w:r>
        <w:rPr>
          <w:rFonts w:hint="eastAsia" w:ascii="仿宋_GB2312" w:hAnsi="宋体" w:eastAsia="仿宋_GB2312" w:cs="仿宋_GB2312"/>
          <w:color w:val="333333"/>
          <w:sz w:val="32"/>
          <w:szCs w:val="32"/>
          <w:shd w:val="clear" w:color="auto" w:fill="FFFFFF"/>
        </w:rPr>
        <w:t>进一步提升</w:t>
      </w:r>
      <w:r>
        <w:rPr>
          <w:rFonts w:ascii="仿宋_GB2312" w:hAnsi="宋体" w:eastAsia="仿宋_GB2312" w:cs="仿宋_GB2312"/>
          <w:color w:val="333333"/>
          <w:sz w:val="32"/>
          <w:szCs w:val="32"/>
          <w:shd w:val="clear" w:color="auto" w:fill="FFFFFF"/>
        </w:rPr>
        <w:t>全体</w:t>
      </w:r>
      <w:r>
        <w:rPr>
          <w:rFonts w:hint="eastAsia" w:ascii="仿宋_GB2312" w:hAnsi="宋体" w:eastAsia="仿宋_GB2312" w:cs="仿宋_GB2312"/>
          <w:color w:val="333333"/>
          <w:sz w:val="32"/>
          <w:szCs w:val="32"/>
          <w:shd w:val="clear" w:color="auto" w:fill="FFFFFF"/>
        </w:rPr>
        <w:t>干部职工对政务信息公开工作相关法律法规的学习及</w:t>
      </w:r>
      <w:r>
        <w:rPr>
          <w:rFonts w:ascii="仿宋_GB2312" w:hAnsi="宋体" w:eastAsia="仿宋_GB2312" w:cs="仿宋_GB2312"/>
          <w:color w:val="333333"/>
          <w:sz w:val="32"/>
          <w:szCs w:val="32"/>
          <w:shd w:val="clear" w:color="auto" w:fill="FFFFFF"/>
        </w:rPr>
        <w:t>政务</w:t>
      </w:r>
      <w:r>
        <w:rPr>
          <w:rFonts w:hint="eastAsia" w:ascii="仿宋_GB2312" w:hAnsi="宋体" w:eastAsia="仿宋_GB2312" w:cs="仿宋_GB2312"/>
          <w:color w:val="333333"/>
          <w:sz w:val="32"/>
          <w:szCs w:val="32"/>
          <w:shd w:val="clear" w:color="auto" w:fill="FFFFFF"/>
        </w:rPr>
        <w:t>信息</w:t>
      </w:r>
      <w:r>
        <w:rPr>
          <w:rFonts w:ascii="仿宋_GB2312" w:hAnsi="宋体" w:eastAsia="仿宋_GB2312" w:cs="仿宋_GB2312"/>
          <w:color w:val="333333"/>
          <w:sz w:val="32"/>
          <w:szCs w:val="32"/>
          <w:shd w:val="clear" w:color="auto" w:fill="FFFFFF"/>
        </w:rPr>
        <w:t>公开</w:t>
      </w:r>
      <w:r>
        <w:rPr>
          <w:rFonts w:hint="eastAsia" w:ascii="仿宋_GB2312" w:hAnsi="宋体" w:eastAsia="仿宋_GB2312" w:cs="仿宋_GB2312"/>
          <w:color w:val="333333"/>
          <w:sz w:val="32"/>
          <w:szCs w:val="32"/>
          <w:shd w:val="clear" w:color="auto" w:fill="FFFFFF"/>
        </w:rPr>
        <w:t>工作思想认识、</w:t>
      </w:r>
      <w:r>
        <w:rPr>
          <w:rFonts w:ascii="仿宋_GB2312" w:hAnsi="宋体" w:eastAsia="仿宋_GB2312" w:cs="仿宋_GB2312"/>
          <w:color w:val="333333"/>
          <w:sz w:val="32"/>
          <w:szCs w:val="32"/>
          <w:shd w:val="clear" w:color="auto" w:fill="FFFFFF"/>
        </w:rPr>
        <w:t>专业能力</w:t>
      </w:r>
      <w:r>
        <w:rPr>
          <w:rFonts w:hint="eastAsia" w:ascii="仿宋_GB2312" w:hAnsi="宋体" w:eastAsia="仿宋_GB2312" w:cs="仿宋_GB2312"/>
          <w:color w:val="333333"/>
          <w:sz w:val="32"/>
          <w:szCs w:val="32"/>
          <w:shd w:val="clear" w:color="auto" w:fill="FFFFFF"/>
        </w:rPr>
        <w:t>及专业水平</w:t>
      </w:r>
      <w:r>
        <w:rPr>
          <w:rFonts w:ascii="仿宋_GB2312" w:hAnsi="宋体" w:eastAsia="仿宋_GB2312" w:cs="仿宋_GB2312"/>
          <w:color w:val="333333"/>
          <w:sz w:val="32"/>
          <w:szCs w:val="32"/>
          <w:shd w:val="clear" w:color="auto" w:fill="FFFFFF"/>
        </w:rPr>
        <w:t>。</w:t>
      </w:r>
      <w:r>
        <w:rPr>
          <w:rFonts w:hint="eastAsia" w:ascii="仿宋_GB2312" w:hAnsi="宋体" w:eastAsia="仿宋_GB2312" w:cs="仿宋_GB2312"/>
          <w:color w:val="333333"/>
          <w:sz w:val="32"/>
          <w:szCs w:val="32"/>
          <w:shd w:val="clear" w:color="auto" w:fill="FFFFFF"/>
        </w:rPr>
        <w:t>二是进一步建立健全政府信息公开工作长效机制，</w:t>
      </w:r>
      <w:r>
        <w:rPr>
          <w:rFonts w:ascii="仿宋_GB2312" w:hAnsi="宋体" w:eastAsia="仿宋_GB2312" w:cs="仿宋_GB2312"/>
          <w:color w:val="333333"/>
          <w:sz w:val="32"/>
          <w:szCs w:val="32"/>
          <w:shd w:val="clear" w:color="auto" w:fill="FFFFFF"/>
        </w:rPr>
        <w:t>强化</w:t>
      </w:r>
      <w:r>
        <w:rPr>
          <w:rFonts w:hint="eastAsia" w:ascii="仿宋_GB2312" w:hAnsi="宋体" w:eastAsia="仿宋_GB2312" w:cs="仿宋_GB2312"/>
          <w:color w:val="333333"/>
          <w:sz w:val="32"/>
          <w:szCs w:val="32"/>
          <w:shd w:val="clear" w:color="auto" w:fill="FFFFFF"/>
        </w:rPr>
        <w:t>对</w:t>
      </w:r>
      <w:r>
        <w:rPr>
          <w:rFonts w:ascii="仿宋_GB2312" w:hAnsi="宋体" w:eastAsia="仿宋_GB2312" w:cs="仿宋_GB2312"/>
          <w:color w:val="333333"/>
          <w:sz w:val="32"/>
          <w:szCs w:val="32"/>
          <w:shd w:val="clear" w:color="auto" w:fill="FFFFFF"/>
        </w:rPr>
        <w:t>重点领域的信息公开，注重以群众</w:t>
      </w:r>
      <w:r>
        <w:rPr>
          <w:rFonts w:hint="eastAsia" w:ascii="仿宋_GB2312" w:hAnsi="宋体" w:eastAsia="仿宋_GB2312" w:cs="仿宋_GB2312"/>
          <w:color w:val="333333"/>
          <w:sz w:val="32"/>
          <w:szCs w:val="32"/>
          <w:shd w:val="clear" w:color="auto" w:fill="FFFFFF"/>
        </w:rPr>
        <w:t>文化满意度</w:t>
      </w:r>
      <w:r>
        <w:rPr>
          <w:rFonts w:ascii="仿宋_GB2312" w:hAnsi="宋体" w:eastAsia="仿宋_GB2312" w:cs="仿宋_GB2312"/>
          <w:color w:val="333333"/>
          <w:sz w:val="32"/>
          <w:szCs w:val="32"/>
          <w:shd w:val="clear" w:color="auto" w:fill="FFFFFF"/>
        </w:rPr>
        <w:t>为导向，</w:t>
      </w:r>
      <w:r>
        <w:rPr>
          <w:rFonts w:hint="eastAsia" w:ascii="仿宋_GB2312" w:hAnsi="宋体" w:eastAsia="仿宋_GB2312" w:cs="仿宋_GB2312"/>
          <w:color w:val="333333"/>
          <w:sz w:val="32"/>
          <w:szCs w:val="32"/>
          <w:shd w:val="clear" w:color="auto" w:fill="FFFFFF"/>
        </w:rPr>
        <w:t>聚焦文旅重点领域，</w:t>
      </w:r>
      <w:r>
        <w:rPr>
          <w:rFonts w:ascii="仿宋_GB2312" w:hAnsi="宋体" w:eastAsia="仿宋_GB2312" w:cs="仿宋_GB2312"/>
          <w:color w:val="333333"/>
          <w:sz w:val="32"/>
          <w:szCs w:val="32"/>
          <w:shd w:val="clear" w:color="auto" w:fill="FFFFFF"/>
        </w:rPr>
        <w:t>及时发布重要决策、</w:t>
      </w:r>
      <w:r>
        <w:rPr>
          <w:rFonts w:hint="eastAsia" w:ascii="仿宋_GB2312" w:hAnsi="宋体" w:eastAsia="仿宋_GB2312" w:cs="仿宋_GB2312"/>
          <w:color w:val="333333"/>
          <w:sz w:val="32"/>
          <w:szCs w:val="32"/>
          <w:shd w:val="clear" w:color="auto" w:fill="FFFFFF"/>
        </w:rPr>
        <w:t>公共文化、</w:t>
      </w:r>
      <w:r>
        <w:rPr>
          <w:rFonts w:ascii="仿宋_GB2312" w:hAnsi="宋体" w:eastAsia="仿宋_GB2312" w:cs="仿宋_GB2312"/>
          <w:color w:val="333333"/>
          <w:sz w:val="32"/>
          <w:szCs w:val="32"/>
          <w:shd w:val="clear" w:color="auto" w:fill="FFFFFF"/>
        </w:rPr>
        <w:t>行政执法、重点民生领域、财政等方面的信息</w:t>
      </w:r>
      <w:r>
        <w:rPr>
          <w:rFonts w:hint="eastAsia" w:ascii="仿宋_GB2312" w:hAnsi="宋体" w:eastAsia="仿宋_GB2312" w:cs="仿宋_GB2312"/>
          <w:color w:val="333333"/>
          <w:sz w:val="32"/>
          <w:szCs w:val="32"/>
          <w:shd w:val="clear" w:color="auto" w:fill="FFFFFF"/>
        </w:rPr>
        <w:t>，定期研究、制定解决政府信息公开工作中存在的主要问题。三是优化服务，进一步完善主动公开政府信息目录，充分利用好融公开网络操作平台，及时做好</w:t>
      </w:r>
      <w:r>
        <w:rPr>
          <w:rFonts w:ascii="仿宋_GB2312" w:hAnsi="宋体" w:eastAsia="仿宋_GB2312" w:cs="仿宋_GB2312"/>
          <w:color w:val="333333"/>
          <w:sz w:val="32"/>
          <w:szCs w:val="32"/>
          <w:shd w:val="clear" w:color="auto" w:fill="FFFFFF"/>
        </w:rPr>
        <w:t>政府信息</w:t>
      </w:r>
      <w:r>
        <w:rPr>
          <w:rFonts w:hint="eastAsia" w:ascii="仿宋_GB2312" w:hAnsi="宋体" w:eastAsia="仿宋_GB2312" w:cs="仿宋_GB2312"/>
          <w:color w:val="333333"/>
          <w:sz w:val="32"/>
          <w:szCs w:val="32"/>
          <w:shd w:val="clear" w:color="auto" w:fill="FFFFFF"/>
        </w:rPr>
        <w:t>的</w:t>
      </w:r>
      <w:r>
        <w:rPr>
          <w:rFonts w:ascii="仿宋_GB2312" w:hAnsi="宋体" w:eastAsia="仿宋_GB2312" w:cs="仿宋_GB2312"/>
          <w:color w:val="333333"/>
          <w:sz w:val="32"/>
          <w:szCs w:val="32"/>
          <w:shd w:val="clear" w:color="auto" w:fill="FFFFFF"/>
        </w:rPr>
        <w:t>发布、更新和维护等工作，</w:t>
      </w:r>
      <w:r>
        <w:rPr>
          <w:rFonts w:hint="eastAsia" w:ascii="仿宋_GB2312" w:hAnsi="宋体" w:eastAsia="仿宋_GB2312" w:cs="仿宋_GB2312"/>
          <w:color w:val="333333"/>
          <w:sz w:val="32"/>
          <w:szCs w:val="32"/>
          <w:shd w:val="clear" w:color="auto" w:fill="FFFFFF"/>
        </w:rPr>
        <w:t>加大信息公开量，切实提高政务信息公开的透明度。</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六、其他需要报告的事项</w:t>
      </w:r>
    </w:p>
    <w:p>
      <w:pPr>
        <w:spacing w:line="560" w:lineRule="exact"/>
        <w:ind w:firstLine="640" w:firstLineChars="200"/>
        <w:rPr>
          <w:rFonts w:ascii="仿宋_GB2312" w:hAnsi="宋体" w:eastAsia="仿宋_GB2312" w:cs="仿宋_GB2312"/>
          <w:color w:val="333333"/>
          <w:sz w:val="32"/>
          <w:szCs w:val="32"/>
          <w:shd w:val="clear" w:color="auto" w:fill="FFFFFF"/>
        </w:rPr>
      </w:pPr>
      <w:r>
        <w:rPr>
          <w:rFonts w:hint="eastAsia" w:ascii="仿宋_GB2312" w:hAnsi="宋体" w:eastAsia="仿宋_GB2312" w:cs="仿宋_GB2312"/>
          <w:color w:val="333333"/>
          <w:sz w:val="32"/>
          <w:szCs w:val="32"/>
          <w:shd w:val="clear" w:color="auto" w:fill="FFFFFF"/>
        </w:rPr>
        <w:t>无。</w:t>
      </w: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p>
    <w:p>
      <w:pPr>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0NDljNmFiMzFkY2ZjZmQ4N2MzMDQyM2Q3NzlkMzMifQ=="/>
  </w:docVars>
  <w:rsids>
    <w:rsidRoot w:val="00E271FF"/>
    <w:rsid w:val="00003766"/>
    <w:rsid w:val="00011351"/>
    <w:rsid w:val="00033FFE"/>
    <w:rsid w:val="000406A0"/>
    <w:rsid w:val="00050F08"/>
    <w:rsid w:val="00067D0C"/>
    <w:rsid w:val="00097400"/>
    <w:rsid w:val="000B0330"/>
    <w:rsid w:val="000B0934"/>
    <w:rsid w:val="000E4BD9"/>
    <w:rsid w:val="000E69DA"/>
    <w:rsid w:val="000E6B32"/>
    <w:rsid w:val="000F2D8A"/>
    <w:rsid w:val="001010D4"/>
    <w:rsid w:val="00117B4D"/>
    <w:rsid w:val="00123B08"/>
    <w:rsid w:val="001245D4"/>
    <w:rsid w:val="00124A11"/>
    <w:rsid w:val="001366B4"/>
    <w:rsid w:val="00151924"/>
    <w:rsid w:val="00154708"/>
    <w:rsid w:val="00161940"/>
    <w:rsid w:val="00164480"/>
    <w:rsid w:val="0016467B"/>
    <w:rsid w:val="00186A62"/>
    <w:rsid w:val="001A6BB5"/>
    <w:rsid w:val="001B7C65"/>
    <w:rsid w:val="001E217A"/>
    <w:rsid w:val="001E5229"/>
    <w:rsid w:val="001E6FDD"/>
    <w:rsid w:val="00206BB2"/>
    <w:rsid w:val="00214DF2"/>
    <w:rsid w:val="00216242"/>
    <w:rsid w:val="00234030"/>
    <w:rsid w:val="00241314"/>
    <w:rsid w:val="00251CC7"/>
    <w:rsid w:val="00256608"/>
    <w:rsid w:val="00266C64"/>
    <w:rsid w:val="002710D2"/>
    <w:rsid w:val="00286935"/>
    <w:rsid w:val="0029082F"/>
    <w:rsid w:val="0029284C"/>
    <w:rsid w:val="0029383C"/>
    <w:rsid w:val="002942DD"/>
    <w:rsid w:val="002A7F25"/>
    <w:rsid w:val="002B5369"/>
    <w:rsid w:val="002D09A1"/>
    <w:rsid w:val="002E3859"/>
    <w:rsid w:val="002F48F7"/>
    <w:rsid w:val="00310B91"/>
    <w:rsid w:val="00317F8F"/>
    <w:rsid w:val="003336C5"/>
    <w:rsid w:val="003343A1"/>
    <w:rsid w:val="00342B75"/>
    <w:rsid w:val="00361769"/>
    <w:rsid w:val="003A551A"/>
    <w:rsid w:val="003B7614"/>
    <w:rsid w:val="003C1CCB"/>
    <w:rsid w:val="003C66CF"/>
    <w:rsid w:val="003D1317"/>
    <w:rsid w:val="003F3C5A"/>
    <w:rsid w:val="004020BC"/>
    <w:rsid w:val="00417E4F"/>
    <w:rsid w:val="00425597"/>
    <w:rsid w:val="00431DC0"/>
    <w:rsid w:val="0044469E"/>
    <w:rsid w:val="0044565B"/>
    <w:rsid w:val="0045531A"/>
    <w:rsid w:val="004622B9"/>
    <w:rsid w:val="00465EE7"/>
    <w:rsid w:val="00474F8C"/>
    <w:rsid w:val="004A3770"/>
    <w:rsid w:val="004A61D9"/>
    <w:rsid w:val="004B1E38"/>
    <w:rsid w:val="004D692C"/>
    <w:rsid w:val="004F225D"/>
    <w:rsid w:val="00503DC2"/>
    <w:rsid w:val="00506018"/>
    <w:rsid w:val="0052384C"/>
    <w:rsid w:val="00530FAE"/>
    <w:rsid w:val="005357E0"/>
    <w:rsid w:val="00561095"/>
    <w:rsid w:val="00565E58"/>
    <w:rsid w:val="00572EE9"/>
    <w:rsid w:val="00575039"/>
    <w:rsid w:val="0058410F"/>
    <w:rsid w:val="005A2D30"/>
    <w:rsid w:val="005A679F"/>
    <w:rsid w:val="005A6855"/>
    <w:rsid w:val="005B2C9D"/>
    <w:rsid w:val="005B60B9"/>
    <w:rsid w:val="005C4E55"/>
    <w:rsid w:val="005C6267"/>
    <w:rsid w:val="005D2717"/>
    <w:rsid w:val="005E176C"/>
    <w:rsid w:val="0061373B"/>
    <w:rsid w:val="006437E8"/>
    <w:rsid w:val="0067385D"/>
    <w:rsid w:val="00684540"/>
    <w:rsid w:val="00685243"/>
    <w:rsid w:val="00685FD6"/>
    <w:rsid w:val="0069145A"/>
    <w:rsid w:val="006A5602"/>
    <w:rsid w:val="006C1879"/>
    <w:rsid w:val="006C1D61"/>
    <w:rsid w:val="006C61E3"/>
    <w:rsid w:val="006D2B9E"/>
    <w:rsid w:val="006F2052"/>
    <w:rsid w:val="006F32A9"/>
    <w:rsid w:val="0070575A"/>
    <w:rsid w:val="00706842"/>
    <w:rsid w:val="00707521"/>
    <w:rsid w:val="00710874"/>
    <w:rsid w:val="0072048C"/>
    <w:rsid w:val="0073528A"/>
    <w:rsid w:val="00746ECD"/>
    <w:rsid w:val="00747284"/>
    <w:rsid w:val="0075282D"/>
    <w:rsid w:val="00754F25"/>
    <w:rsid w:val="00776012"/>
    <w:rsid w:val="0077715A"/>
    <w:rsid w:val="007D6C57"/>
    <w:rsid w:val="007E4180"/>
    <w:rsid w:val="007E674E"/>
    <w:rsid w:val="00807CC0"/>
    <w:rsid w:val="00816B92"/>
    <w:rsid w:val="00825613"/>
    <w:rsid w:val="00835FA9"/>
    <w:rsid w:val="00852C30"/>
    <w:rsid w:val="00867D9F"/>
    <w:rsid w:val="0087437C"/>
    <w:rsid w:val="00874582"/>
    <w:rsid w:val="0087509A"/>
    <w:rsid w:val="00885D12"/>
    <w:rsid w:val="008969C3"/>
    <w:rsid w:val="008A46AC"/>
    <w:rsid w:val="008D4B35"/>
    <w:rsid w:val="008D62E4"/>
    <w:rsid w:val="008E6862"/>
    <w:rsid w:val="008F0C7F"/>
    <w:rsid w:val="00902E17"/>
    <w:rsid w:val="00937389"/>
    <w:rsid w:val="00954E96"/>
    <w:rsid w:val="00971010"/>
    <w:rsid w:val="0099580A"/>
    <w:rsid w:val="009B67A4"/>
    <w:rsid w:val="009C36DF"/>
    <w:rsid w:val="009D2A19"/>
    <w:rsid w:val="009D5915"/>
    <w:rsid w:val="009F4207"/>
    <w:rsid w:val="009F435B"/>
    <w:rsid w:val="009F4D5A"/>
    <w:rsid w:val="009F5FE5"/>
    <w:rsid w:val="009F6DCB"/>
    <w:rsid w:val="00A16507"/>
    <w:rsid w:val="00A304B2"/>
    <w:rsid w:val="00A427EB"/>
    <w:rsid w:val="00A52A9C"/>
    <w:rsid w:val="00A6389A"/>
    <w:rsid w:val="00A7136A"/>
    <w:rsid w:val="00A72716"/>
    <w:rsid w:val="00A858D2"/>
    <w:rsid w:val="00A9750E"/>
    <w:rsid w:val="00AD32E2"/>
    <w:rsid w:val="00AD7912"/>
    <w:rsid w:val="00AE68F1"/>
    <w:rsid w:val="00AE6F46"/>
    <w:rsid w:val="00AF6C2E"/>
    <w:rsid w:val="00B0527D"/>
    <w:rsid w:val="00B10618"/>
    <w:rsid w:val="00B209C0"/>
    <w:rsid w:val="00B222E6"/>
    <w:rsid w:val="00B2447E"/>
    <w:rsid w:val="00B31F92"/>
    <w:rsid w:val="00B52FB0"/>
    <w:rsid w:val="00B6207B"/>
    <w:rsid w:val="00B65FDB"/>
    <w:rsid w:val="00B70AA5"/>
    <w:rsid w:val="00B72BE8"/>
    <w:rsid w:val="00B905A0"/>
    <w:rsid w:val="00B95A40"/>
    <w:rsid w:val="00BA1D87"/>
    <w:rsid w:val="00BA408A"/>
    <w:rsid w:val="00BA4966"/>
    <w:rsid w:val="00BB0CB9"/>
    <w:rsid w:val="00BD15C4"/>
    <w:rsid w:val="00BE34C2"/>
    <w:rsid w:val="00BF33DF"/>
    <w:rsid w:val="00BF78AB"/>
    <w:rsid w:val="00C01B55"/>
    <w:rsid w:val="00C01FA7"/>
    <w:rsid w:val="00C0203D"/>
    <w:rsid w:val="00C24D73"/>
    <w:rsid w:val="00C35AFD"/>
    <w:rsid w:val="00C421DB"/>
    <w:rsid w:val="00C53C40"/>
    <w:rsid w:val="00C615D5"/>
    <w:rsid w:val="00CA092C"/>
    <w:rsid w:val="00CB0401"/>
    <w:rsid w:val="00CB2F48"/>
    <w:rsid w:val="00CC6D06"/>
    <w:rsid w:val="00CF7A58"/>
    <w:rsid w:val="00D00DA1"/>
    <w:rsid w:val="00D11086"/>
    <w:rsid w:val="00D36A59"/>
    <w:rsid w:val="00D41DCE"/>
    <w:rsid w:val="00D47806"/>
    <w:rsid w:val="00D53DFE"/>
    <w:rsid w:val="00D601F0"/>
    <w:rsid w:val="00D628BA"/>
    <w:rsid w:val="00D72CD5"/>
    <w:rsid w:val="00D847D8"/>
    <w:rsid w:val="00DA5B47"/>
    <w:rsid w:val="00DB1A24"/>
    <w:rsid w:val="00DD1EFA"/>
    <w:rsid w:val="00DD6D4A"/>
    <w:rsid w:val="00DE0F65"/>
    <w:rsid w:val="00DE7653"/>
    <w:rsid w:val="00DF152D"/>
    <w:rsid w:val="00E0243C"/>
    <w:rsid w:val="00E2313C"/>
    <w:rsid w:val="00E271FF"/>
    <w:rsid w:val="00E44D4C"/>
    <w:rsid w:val="00E66D92"/>
    <w:rsid w:val="00E76CEC"/>
    <w:rsid w:val="00E85013"/>
    <w:rsid w:val="00E8666D"/>
    <w:rsid w:val="00EA56A0"/>
    <w:rsid w:val="00EC4878"/>
    <w:rsid w:val="00F07DF7"/>
    <w:rsid w:val="00F227DD"/>
    <w:rsid w:val="00F241FE"/>
    <w:rsid w:val="00F250FA"/>
    <w:rsid w:val="00F33CEA"/>
    <w:rsid w:val="00F43078"/>
    <w:rsid w:val="00F53375"/>
    <w:rsid w:val="00F63D59"/>
    <w:rsid w:val="00F7222E"/>
    <w:rsid w:val="00F81217"/>
    <w:rsid w:val="00F84A56"/>
    <w:rsid w:val="00F85382"/>
    <w:rsid w:val="00F85A95"/>
    <w:rsid w:val="00F86849"/>
    <w:rsid w:val="00F97C97"/>
    <w:rsid w:val="00FD6BCF"/>
    <w:rsid w:val="00FE7C2B"/>
    <w:rsid w:val="013272BB"/>
    <w:rsid w:val="01D660D8"/>
    <w:rsid w:val="028566F0"/>
    <w:rsid w:val="02921511"/>
    <w:rsid w:val="029B37D3"/>
    <w:rsid w:val="02A2126A"/>
    <w:rsid w:val="02D14DF8"/>
    <w:rsid w:val="02DE4C42"/>
    <w:rsid w:val="030D51D0"/>
    <w:rsid w:val="034E44AB"/>
    <w:rsid w:val="03C46FD6"/>
    <w:rsid w:val="04176C86"/>
    <w:rsid w:val="041C1ABD"/>
    <w:rsid w:val="044949B8"/>
    <w:rsid w:val="049C0179"/>
    <w:rsid w:val="04DA56DA"/>
    <w:rsid w:val="054D561D"/>
    <w:rsid w:val="05636693"/>
    <w:rsid w:val="056468B4"/>
    <w:rsid w:val="056758A0"/>
    <w:rsid w:val="059F31F4"/>
    <w:rsid w:val="05A532EC"/>
    <w:rsid w:val="05B823CC"/>
    <w:rsid w:val="05CA6D97"/>
    <w:rsid w:val="05DD41E4"/>
    <w:rsid w:val="06446BD0"/>
    <w:rsid w:val="066B5BE5"/>
    <w:rsid w:val="069B15FA"/>
    <w:rsid w:val="06A7770C"/>
    <w:rsid w:val="06B0668E"/>
    <w:rsid w:val="07184B0A"/>
    <w:rsid w:val="072E1282"/>
    <w:rsid w:val="073E4200"/>
    <w:rsid w:val="076F6FF5"/>
    <w:rsid w:val="07D128AD"/>
    <w:rsid w:val="07D74D6C"/>
    <w:rsid w:val="07E55BDB"/>
    <w:rsid w:val="082A632D"/>
    <w:rsid w:val="082B1952"/>
    <w:rsid w:val="090A65F2"/>
    <w:rsid w:val="09232D09"/>
    <w:rsid w:val="095B4FFC"/>
    <w:rsid w:val="098330D5"/>
    <w:rsid w:val="09C5604E"/>
    <w:rsid w:val="0A4B2D4F"/>
    <w:rsid w:val="0AD125C2"/>
    <w:rsid w:val="0AD92A23"/>
    <w:rsid w:val="0B234DEC"/>
    <w:rsid w:val="0B5B7FC0"/>
    <w:rsid w:val="0BD879D1"/>
    <w:rsid w:val="0BF76F19"/>
    <w:rsid w:val="0C2410B1"/>
    <w:rsid w:val="0C6E7FD6"/>
    <w:rsid w:val="0C810BC4"/>
    <w:rsid w:val="0CA96E5B"/>
    <w:rsid w:val="0CBF6D04"/>
    <w:rsid w:val="0CF74371"/>
    <w:rsid w:val="0D452CC9"/>
    <w:rsid w:val="0D6D0F4B"/>
    <w:rsid w:val="0DED1943"/>
    <w:rsid w:val="0E4050A5"/>
    <w:rsid w:val="0E491E50"/>
    <w:rsid w:val="0E6D53AD"/>
    <w:rsid w:val="0E7F3BAE"/>
    <w:rsid w:val="0EE32985"/>
    <w:rsid w:val="0F1D4C8B"/>
    <w:rsid w:val="0F2D39E0"/>
    <w:rsid w:val="0F391145"/>
    <w:rsid w:val="0F4C2110"/>
    <w:rsid w:val="0F6D57AD"/>
    <w:rsid w:val="0FED349E"/>
    <w:rsid w:val="0FFF0B80"/>
    <w:rsid w:val="10003FC6"/>
    <w:rsid w:val="10270D43"/>
    <w:rsid w:val="106A284F"/>
    <w:rsid w:val="10BD6BC6"/>
    <w:rsid w:val="110C4CED"/>
    <w:rsid w:val="117371EA"/>
    <w:rsid w:val="117669EB"/>
    <w:rsid w:val="11AF1C61"/>
    <w:rsid w:val="11CD4900"/>
    <w:rsid w:val="121C29F3"/>
    <w:rsid w:val="123B5A7B"/>
    <w:rsid w:val="125504E8"/>
    <w:rsid w:val="129B479B"/>
    <w:rsid w:val="12BD2C45"/>
    <w:rsid w:val="12DE1941"/>
    <w:rsid w:val="13AB3639"/>
    <w:rsid w:val="13B42560"/>
    <w:rsid w:val="14692482"/>
    <w:rsid w:val="14DE60AD"/>
    <w:rsid w:val="14E519BB"/>
    <w:rsid w:val="14FF17F8"/>
    <w:rsid w:val="151B11B7"/>
    <w:rsid w:val="15955FFB"/>
    <w:rsid w:val="159708B7"/>
    <w:rsid w:val="15CB36DA"/>
    <w:rsid w:val="15E1405A"/>
    <w:rsid w:val="15E64399"/>
    <w:rsid w:val="15F37822"/>
    <w:rsid w:val="16040E93"/>
    <w:rsid w:val="166B71F4"/>
    <w:rsid w:val="16A010DD"/>
    <w:rsid w:val="1712040B"/>
    <w:rsid w:val="17E66233"/>
    <w:rsid w:val="17F44DD4"/>
    <w:rsid w:val="18056DBE"/>
    <w:rsid w:val="187142E2"/>
    <w:rsid w:val="18973E16"/>
    <w:rsid w:val="18A84FC4"/>
    <w:rsid w:val="18A90C55"/>
    <w:rsid w:val="18B520F1"/>
    <w:rsid w:val="18C52F4D"/>
    <w:rsid w:val="18DC754D"/>
    <w:rsid w:val="18EA3F26"/>
    <w:rsid w:val="19172E75"/>
    <w:rsid w:val="192D2A20"/>
    <w:rsid w:val="194C09D7"/>
    <w:rsid w:val="1985385F"/>
    <w:rsid w:val="198B2766"/>
    <w:rsid w:val="19B17AA6"/>
    <w:rsid w:val="19CC0342"/>
    <w:rsid w:val="19F36999"/>
    <w:rsid w:val="1A537440"/>
    <w:rsid w:val="1A6E4023"/>
    <w:rsid w:val="1A803AAA"/>
    <w:rsid w:val="1B97756A"/>
    <w:rsid w:val="1C4F6BBB"/>
    <w:rsid w:val="1C66076E"/>
    <w:rsid w:val="1C6E0E50"/>
    <w:rsid w:val="1C755154"/>
    <w:rsid w:val="1C8D3E7E"/>
    <w:rsid w:val="1C996901"/>
    <w:rsid w:val="1CFC67A3"/>
    <w:rsid w:val="1D0F3578"/>
    <w:rsid w:val="1D900962"/>
    <w:rsid w:val="1DC84C9D"/>
    <w:rsid w:val="1DE35CD0"/>
    <w:rsid w:val="1E101C9B"/>
    <w:rsid w:val="1E4A2876"/>
    <w:rsid w:val="1E8675E6"/>
    <w:rsid w:val="1E9D56DD"/>
    <w:rsid w:val="1EA11BB1"/>
    <w:rsid w:val="1EA80693"/>
    <w:rsid w:val="1EC774AD"/>
    <w:rsid w:val="1F583069"/>
    <w:rsid w:val="1F9447DF"/>
    <w:rsid w:val="1FB15A13"/>
    <w:rsid w:val="1FD426C5"/>
    <w:rsid w:val="1FE33B4E"/>
    <w:rsid w:val="1FFA0AB8"/>
    <w:rsid w:val="20A83357"/>
    <w:rsid w:val="20E210BC"/>
    <w:rsid w:val="20EE190B"/>
    <w:rsid w:val="21225366"/>
    <w:rsid w:val="21385153"/>
    <w:rsid w:val="214E555D"/>
    <w:rsid w:val="2191097D"/>
    <w:rsid w:val="21A62CE6"/>
    <w:rsid w:val="21A81E8B"/>
    <w:rsid w:val="21B01868"/>
    <w:rsid w:val="21B2567C"/>
    <w:rsid w:val="21DC516C"/>
    <w:rsid w:val="220D364B"/>
    <w:rsid w:val="22164744"/>
    <w:rsid w:val="221918C4"/>
    <w:rsid w:val="22922726"/>
    <w:rsid w:val="22963671"/>
    <w:rsid w:val="22B11D11"/>
    <w:rsid w:val="22B73786"/>
    <w:rsid w:val="22B937EC"/>
    <w:rsid w:val="22E07026"/>
    <w:rsid w:val="22ED6891"/>
    <w:rsid w:val="230A1C73"/>
    <w:rsid w:val="239B7FFE"/>
    <w:rsid w:val="23B14AF0"/>
    <w:rsid w:val="23B755CE"/>
    <w:rsid w:val="23BE0122"/>
    <w:rsid w:val="23D508B6"/>
    <w:rsid w:val="23E71382"/>
    <w:rsid w:val="23EA162A"/>
    <w:rsid w:val="23FB6BA7"/>
    <w:rsid w:val="245556C4"/>
    <w:rsid w:val="24680A40"/>
    <w:rsid w:val="24886817"/>
    <w:rsid w:val="248B65E7"/>
    <w:rsid w:val="249407C8"/>
    <w:rsid w:val="24943EAB"/>
    <w:rsid w:val="24B271E7"/>
    <w:rsid w:val="252A335B"/>
    <w:rsid w:val="25520C1A"/>
    <w:rsid w:val="25601640"/>
    <w:rsid w:val="25B340DC"/>
    <w:rsid w:val="25C2229C"/>
    <w:rsid w:val="25EB235A"/>
    <w:rsid w:val="25F56CCB"/>
    <w:rsid w:val="25F808E0"/>
    <w:rsid w:val="262E776B"/>
    <w:rsid w:val="26416412"/>
    <w:rsid w:val="26490E23"/>
    <w:rsid w:val="26630674"/>
    <w:rsid w:val="266E6450"/>
    <w:rsid w:val="26CC1A3A"/>
    <w:rsid w:val="270A69F6"/>
    <w:rsid w:val="270F313D"/>
    <w:rsid w:val="27184B79"/>
    <w:rsid w:val="271D4B4C"/>
    <w:rsid w:val="271E2957"/>
    <w:rsid w:val="27EE5FFF"/>
    <w:rsid w:val="280B0CC0"/>
    <w:rsid w:val="281231C4"/>
    <w:rsid w:val="282F2155"/>
    <w:rsid w:val="287D1345"/>
    <w:rsid w:val="28891A04"/>
    <w:rsid w:val="28C81F2D"/>
    <w:rsid w:val="290D2247"/>
    <w:rsid w:val="2912485F"/>
    <w:rsid w:val="291E3E50"/>
    <w:rsid w:val="29241C6E"/>
    <w:rsid w:val="293D24B0"/>
    <w:rsid w:val="29627946"/>
    <w:rsid w:val="29B07B11"/>
    <w:rsid w:val="2A22000C"/>
    <w:rsid w:val="2A9737C6"/>
    <w:rsid w:val="2AAC7BC5"/>
    <w:rsid w:val="2ACE221D"/>
    <w:rsid w:val="2AD13B14"/>
    <w:rsid w:val="2AE7343C"/>
    <w:rsid w:val="2AEA0C5E"/>
    <w:rsid w:val="2AFE5CD4"/>
    <w:rsid w:val="2B1E04BD"/>
    <w:rsid w:val="2B3E4407"/>
    <w:rsid w:val="2B81450A"/>
    <w:rsid w:val="2B8B7B28"/>
    <w:rsid w:val="2BE5418F"/>
    <w:rsid w:val="2BE85058"/>
    <w:rsid w:val="2C1903FF"/>
    <w:rsid w:val="2C225F49"/>
    <w:rsid w:val="2C275BA5"/>
    <w:rsid w:val="2C3167A2"/>
    <w:rsid w:val="2C364B7B"/>
    <w:rsid w:val="2C3E617D"/>
    <w:rsid w:val="2C9032BA"/>
    <w:rsid w:val="2C9225DE"/>
    <w:rsid w:val="2CC94F95"/>
    <w:rsid w:val="2D630734"/>
    <w:rsid w:val="2D9D166E"/>
    <w:rsid w:val="2E1613D7"/>
    <w:rsid w:val="2E207979"/>
    <w:rsid w:val="2E8D0C5D"/>
    <w:rsid w:val="2ED83A31"/>
    <w:rsid w:val="2F065724"/>
    <w:rsid w:val="2F181341"/>
    <w:rsid w:val="2F313D15"/>
    <w:rsid w:val="2F4B4F8C"/>
    <w:rsid w:val="2F703295"/>
    <w:rsid w:val="2F975DCD"/>
    <w:rsid w:val="2FA67F83"/>
    <w:rsid w:val="2FCB2EB6"/>
    <w:rsid w:val="2FFD6D86"/>
    <w:rsid w:val="30712B91"/>
    <w:rsid w:val="307C77A2"/>
    <w:rsid w:val="30EA1017"/>
    <w:rsid w:val="30FD47C4"/>
    <w:rsid w:val="31990E61"/>
    <w:rsid w:val="31C60F6A"/>
    <w:rsid w:val="32437209"/>
    <w:rsid w:val="32974C8A"/>
    <w:rsid w:val="32BC68F9"/>
    <w:rsid w:val="32D95C2C"/>
    <w:rsid w:val="331C4A4E"/>
    <w:rsid w:val="33422BAD"/>
    <w:rsid w:val="34461EE6"/>
    <w:rsid w:val="34652CF4"/>
    <w:rsid w:val="34784997"/>
    <w:rsid w:val="349B5A36"/>
    <w:rsid w:val="34BB393B"/>
    <w:rsid w:val="34F62F03"/>
    <w:rsid w:val="35157FFE"/>
    <w:rsid w:val="35230B3D"/>
    <w:rsid w:val="352C70FF"/>
    <w:rsid w:val="353D0076"/>
    <w:rsid w:val="35605AB6"/>
    <w:rsid w:val="359540D1"/>
    <w:rsid w:val="35CC56DB"/>
    <w:rsid w:val="36397B0F"/>
    <w:rsid w:val="364D683C"/>
    <w:rsid w:val="36D71B8D"/>
    <w:rsid w:val="36E324C0"/>
    <w:rsid w:val="36E3408A"/>
    <w:rsid w:val="37024778"/>
    <w:rsid w:val="372C160B"/>
    <w:rsid w:val="377F4064"/>
    <w:rsid w:val="38203F17"/>
    <w:rsid w:val="382A2212"/>
    <w:rsid w:val="38345740"/>
    <w:rsid w:val="387B131B"/>
    <w:rsid w:val="38F53C3B"/>
    <w:rsid w:val="39230F83"/>
    <w:rsid w:val="396A2FE1"/>
    <w:rsid w:val="39BD53D7"/>
    <w:rsid w:val="39F42D75"/>
    <w:rsid w:val="3A1B470C"/>
    <w:rsid w:val="3A493A35"/>
    <w:rsid w:val="3A761393"/>
    <w:rsid w:val="3AEE59BD"/>
    <w:rsid w:val="3B740003"/>
    <w:rsid w:val="3B7717DD"/>
    <w:rsid w:val="3B784048"/>
    <w:rsid w:val="3B786773"/>
    <w:rsid w:val="3B981210"/>
    <w:rsid w:val="3BB778B5"/>
    <w:rsid w:val="3BD51548"/>
    <w:rsid w:val="3BEC7B38"/>
    <w:rsid w:val="3BEF47E9"/>
    <w:rsid w:val="3C0B4DBB"/>
    <w:rsid w:val="3C260CF7"/>
    <w:rsid w:val="3C35150E"/>
    <w:rsid w:val="3C717116"/>
    <w:rsid w:val="3CC85E03"/>
    <w:rsid w:val="3CCE19F7"/>
    <w:rsid w:val="3CE2537C"/>
    <w:rsid w:val="3D114ED5"/>
    <w:rsid w:val="3D4C3E0F"/>
    <w:rsid w:val="3D54324F"/>
    <w:rsid w:val="3D8676AE"/>
    <w:rsid w:val="3DC649E0"/>
    <w:rsid w:val="3E2362EA"/>
    <w:rsid w:val="3E2853B0"/>
    <w:rsid w:val="3E7F0E3B"/>
    <w:rsid w:val="3E8656AB"/>
    <w:rsid w:val="3E902ABC"/>
    <w:rsid w:val="3F405784"/>
    <w:rsid w:val="3F571F23"/>
    <w:rsid w:val="3FA73430"/>
    <w:rsid w:val="3FB3753B"/>
    <w:rsid w:val="3FBC4390"/>
    <w:rsid w:val="3FD910AB"/>
    <w:rsid w:val="40011E78"/>
    <w:rsid w:val="404C0BB6"/>
    <w:rsid w:val="409140DC"/>
    <w:rsid w:val="40CD1C14"/>
    <w:rsid w:val="410B261C"/>
    <w:rsid w:val="41167FE5"/>
    <w:rsid w:val="4129257C"/>
    <w:rsid w:val="412E32B3"/>
    <w:rsid w:val="41C270E4"/>
    <w:rsid w:val="41D43F90"/>
    <w:rsid w:val="4212018E"/>
    <w:rsid w:val="426112F8"/>
    <w:rsid w:val="428373FB"/>
    <w:rsid w:val="42F73F2F"/>
    <w:rsid w:val="4360725A"/>
    <w:rsid w:val="43CE4B20"/>
    <w:rsid w:val="43D552E2"/>
    <w:rsid w:val="43DB7009"/>
    <w:rsid w:val="43E20204"/>
    <w:rsid w:val="43F81601"/>
    <w:rsid w:val="441141A4"/>
    <w:rsid w:val="442B043A"/>
    <w:rsid w:val="44396578"/>
    <w:rsid w:val="44481E00"/>
    <w:rsid w:val="44626C20"/>
    <w:rsid w:val="451D35C4"/>
    <w:rsid w:val="45236BDF"/>
    <w:rsid w:val="452627FB"/>
    <w:rsid w:val="45901D0B"/>
    <w:rsid w:val="45914BDC"/>
    <w:rsid w:val="4597648E"/>
    <w:rsid w:val="459E25FA"/>
    <w:rsid w:val="45A9630C"/>
    <w:rsid w:val="45BD2ABC"/>
    <w:rsid w:val="45C45425"/>
    <w:rsid w:val="45FC3E7C"/>
    <w:rsid w:val="460B4FDD"/>
    <w:rsid w:val="46112EA1"/>
    <w:rsid w:val="469E41A1"/>
    <w:rsid w:val="46E03259"/>
    <w:rsid w:val="46EF0B26"/>
    <w:rsid w:val="471253DB"/>
    <w:rsid w:val="473A0CBB"/>
    <w:rsid w:val="475F0601"/>
    <w:rsid w:val="47961C1B"/>
    <w:rsid w:val="47B74CC8"/>
    <w:rsid w:val="48216B3A"/>
    <w:rsid w:val="485D6581"/>
    <w:rsid w:val="49F70C4F"/>
    <w:rsid w:val="4A1D1931"/>
    <w:rsid w:val="4A3C1132"/>
    <w:rsid w:val="4A9118E6"/>
    <w:rsid w:val="4A9F2D3A"/>
    <w:rsid w:val="4ACF2370"/>
    <w:rsid w:val="4ACF6098"/>
    <w:rsid w:val="4AF655D5"/>
    <w:rsid w:val="4B04149A"/>
    <w:rsid w:val="4B0D3D54"/>
    <w:rsid w:val="4B230B4D"/>
    <w:rsid w:val="4B2F3B96"/>
    <w:rsid w:val="4B48076D"/>
    <w:rsid w:val="4B5144E4"/>
    <w:rsid w:val="4BC323C1"/>
    <w:rsid w:val="4C0C2ADF"/>
    <w:rsid w:val="4C207B86"/>
    <w:rsid w:val="4CC709D6"/>
    <w:rsid w:val="4CE258B7"/>
    <w:rsid w:val="4CF53427"/>
    <w:rsid w:val="4D0F0907"/>
    <w:rsid w:val="4D680D71"/>
    <w:rsid w:val="4DB34FC4"/>
    <w:rsid w:val="4DEC2612"/>
    <w:rsid w:val="4E034415"/>
    <w:rsid w:val="4E10214C"/>
    <w:rsid w:val="4E14721F"/>
    <w:rsid w:val="4E1B0432"/>
    <w:rsid w:val="4E313C60"/>
    <w:rsid w:val="4E6D4465"/>
    <w:rsid w:val="4EAC327E"/>
    <w:rsid w:val="4F2B7847"/>
    <w:rsid w:val="4F6A4720"/>
    <w:rsid w:val="4F9B5DA3"/>
    <w:rsid w:val="4FAB38EB"/>
    <w:rsid w:val="4FEF62DE"/>
    <w:rsid w:val="50282168"/>
    <w:rsid w:val="50813806"/>
    <w:rsid w:val="50FF4442"/>
    <w:rsid w:val="51114A1E"/>
    <w:rsid w:val="513A47BC"/>
    <w:rsid w:val="514F187F"/>
    <w:rsid w:val="515F55A3"/>
    <w:rsid w:val="517337D3"/>
    <w:rsid w:val="51F526B5"/>
    <w:rsid w:val="52380946"/>
    <w:rsid w:val="52AB39E0"/>
    <w:rsid w:val="52AB4DA2"/>
    <w:rsid w:val="52D04DEE"/>
    <w:rsid w:val="52E96581"/>
    <w:rsid w:val="53014AD0"/>
    <w:rsid w:val="533F45D6"/>
    <w:rsid w:val="539653E6"/>
    <w:rsid w:val="539B252C"/>
    <w:rsid w:val="53A74EFE"/>
    <w:rsid w:val="53AA69A4"/>
    <w:rsid w:val="53CE17F8"/>
    <w:rsid w:val="53E76067"/>
    <w:rsid w:val="54662097"/>
    <w:rsid w:val="54673671"/>
    <w:rsid w:val="54E1742F"/>
    <w:rsid w:val="54EE4EF9"/>
    <w:rsid w:val="5538715F"/>
    <w:rsid w:val="554E6F39"/>
    <w:rsid w:val="557962D6"/>
    <w:rsid w:val="55B40602"/>
    <w:rsid w:val="55C82C13"/>
    <w:rsid w:val="55D96BC8"/>
    <w:rsid w:val="55E55458"/>
    <w:rsid w:val="55EB05E4"/>
    <w:rsid w:val="56260C60"/>
    <w:rsid w:val="56423F55"/>
    <w:rsid w:val="5658672D"/>
    <w:rsid w:val="566034B6"/>
    <w:rsid w:val="566E346A"/>
    <w:rsid w:val="57453CC4"/>
    <w:rsid w:val="575B3A94"/>
    <w:rsid w:val="57747791"/>
    <w:rsid w:val="578605E3"/>
    <w:rsid w:val="57AA6290"/>
    <w:rsid w:val="57DD6A8B"/>
    <w:rsid w:val="58096ECB"/>
    <w:rsid w:val="58156D39"/>
    <w:rsid w:val="582650EB"/>
    <w:rsid w:val="585154F5"/>
    <w:rsid w:val="58843969"/>
    <w:rsid w:val="589759E4"/>
    <w:rsid w:val="58A86591"/>
    <w:rsid w:val="58AC24F0"/>
    <w:rsid w:val="590D145D"/>
    <w:rsid w:val="59455654"/>
    <w:rsid w:val="59777696"/>
    <w:rsid w:val="59850E3F"/>
    <w:rsid w:val="59EA6A40"/>
    <w:rsid w:val="5A1A41FE"/>
    <w:rsid w:val="5A1B2112"/>
    <w:rsid w:val="5A23517F"/>
    <w:rsid w:val="5A2B6F44"/>
    <w:rsid w:val="5A48183D"/>
    <w:rsid w:val="5A7C5913"/>
    <w:rsid w:val="5A7E6FC3"/>
    <w:rsid w:val="5A8539FF"/>
    <w:rsid w:val="5B191A51"/>
    <w:rsid w:val="5B51631F"/>
    <w:rsid w:val="5B6D5377"/>
    <w:rsid w:val="5B77572A"/>
    <w:rsid w:val="5B910AD2"/>
    <w:rsid w:val="5BA65C1C"/>
    <w:rsid w:val="5BB71533"/>
    <w:rsid w:val="5BC55D3C"/>
    <w:rsid w:val="5BDF4F11"/>
    <w:rsid w:val="5BEB3492"/>
    <w:rsid w:val="5C0B5710"/>
    <w:rsid w:val="5C4D0BA7"/>
    <w:rsid w:val="5C56663A"/>
    <w:rsid w:val="5C67232E"/>
    <w:rsid w:val="5CCF2499"/>
    <w:rsid w:val="5D0A0C7F"/>
    <w:rsid w:val="5D23619C"/>
    <w:rsid w:val="5D8B3A5C"/>
    <w:rsid w:val="5D8E5380"/>
    <w:rsid w:val="5DE467A9"/>
    <w:rsid w:val="5E7F6DB2"/>
    <w:rsid w:val="5E8B53D2"/>
    <w:rsid w:val="5EE07BCE"/>
    <w:rsid w:val="5F1311F6"/>
    <w:rsid w:val="5F2C2A26"/>
    <w:rsid w:val="5FAA1AC3"/>
    <w:rsid w:val="5FD5097B"/>
    <w:rsid w:val="5FD50FCA"/>
    <w:rsid w:val="5FE8127F"/>
    <w:rsid w:val="6098621B"/>
    <w:rsid w:val="60D71C86"/>
    <w:rsid w:val="60EC6F82"/>
    <w:rsid w:val="610E4C5E"/>
    <w:rsid w:val="613641FC"/>
    <w:rsid w:val="6189375E"/>
    <w:rsid w:val="618E22CC"/>
    <w:rsid w:val="61C57EBB"/>
    <w:rsid w:val="61CD00F3"/>
    <w:rsid w:val="62484C00"/>
    <w:rsid w:val="624C1382"/>
    <w:rsid w:val="624C4809"/>
    <w:rsid w:val="62756861"/>
    <w:rsid w:val="62A362E2"/>
    <w:rsid w:val="62B33029"/>
    <w:rsid w:val="62C90E12"/>
    <w:rsid w:val="63037CAD"/>
    <w:rsid w:val="63555619"/>
    <w:rsid w:val="636948A7"/>
    <w:rsid w:val="637C1EAB"/>
    <w:rsid w:val="6388484F"/>
    <w:rsid w:val="63971938"/>
    <w:rsid w:val="64BD4F0F"/>
    <w:rsid w:val="64F1694A"/>
    <w:rsid w:val="64FE0207"/>
    <w:rsid w:val="656E43B9"/>
    <w:rsid w:val="65943B90"/>
    <w:rsid w:val="659764DE"/>
    <w:rsid w:val="65D956C0"/>
    <w:rsid w:val="66440614"/>
    <w:rsid w:val="667C424C"/>
    <w:rsid w:val="669D17F6"/>
    <w:rsid w:val="66A30357"/>
    <w:rsid w:val="66BF6F2D"/>
    <w:rsid w:val="66E11D50"/>
    <w:rsid w:val="66EB40E4"/>
    <w:rsid w:val="67067C7E"/>
    <w:rsid w:val="6781212D"/>
    <w:rsid w:val="67854F10"/>
    <w:rsid w:val="67947EFD"/>
    <w:rsid w:val="67AE2881"/>
    <w:rsid w:val="67CB2600"/>
    <w:rsid w:val="67E942D7"/>
    <w:rsid w:val="6819727B"/>
    <w:rsid w:val="68712504"/>
    <w:rsid w:val="69313570"/>
    <w:rsid w:val="694A2569"/>
    <w:rsid w:val="695679C4"/>
    <w:rsid w:val="695834B2"/>
    <w:rsid w:val="69862F77"/>
    <w:rsid w:val="69A556A9"/>
    <w:rsid w:val="69B63DA8"/>
    <w:rsid w:val="69FA5C31"/>
    <w:rsid w:val="6A09677C"/>
    <w:rsid w:val="6A1C40AF"/>
    <w:rsid w:val="6A335666"/>
    <w:rsid w:val="6A8D438B"/>
    <w:rsid w:val="6AA85262"/>
    <w:rsid w:val="6ADA7354"/>
    <w:rsid w:val="6B02700A"/>
    <w:rsid w:val="6B182F8C"/>
    <w:rsid w:val="6B1E4E52"/>
    <w:rsid w:val="6BAC2B36"/>
    <w:rsid w:val="6BB6604F"/>
    <w:rsid w:val="6BF209A2"/>
    <w:rsid w:val="6C595D15"/>
    <w:rsid w:val="6C6045F3"/>
    <w:rsid w:val="6C7001B3"/>
    <w:rsid w:val="6CE76DEA"/>
    <w:rsid w:val="6CED28F1"/>
    <w:rsid w:val="6CF70691"/>
    <w:rsid w:val="6CFE457E"/>
    <w:rsid w:val="6D41081F"/>
    <w:rsid w:val="6D59422E"/>
    <w:rsid w:val="6D93206D"/>
    <w:rsid w:val="6D9E0B9A"/>
    <w:rsid w:val="6DB620E4"/>
    <w:rsid w:val="6E757747"/>
    <w:rsid w:val="6E782E83"/>
    <w:rsid w:val="6E791741"/>
    <w:rsid w:val="6E8D020C"/>
    <w:rsid w:val="6ECA5DE0"/>
    <w:rsid w:val="6EE06DB2"/>
    <w:rsid w:val="6F0A567D"/>
    <w:rsid w:val="6F7832CE"/>
    <w:rsid w:val="6FA35E75"/>
    <w:rsid w:val="6FA5167F"/>
    <w:rsid w:val="6FAE70D0"/>
    <w:rsid w:val="6FB55DDE"/>
    <w:rsid w:val="6FB74D0E"/>
    <w:rsid w:val="6FCB3CF6"/>
    <w:rsid w:val="6FCC3F98"/>
    <w:rsid w:val="6FCD1EDC"/>
    <w:rsid w:val="6FCD6B33"/>
    <w:rsid w:val="6FDA624A"/>
    <w:rsid w:val="700166CE"/>
    <w:rsid w:val="70331A4E"/>
    <w:rsid w:val="708D1C3F"/>
    <w:rsid w:val="71683622"/>
    <w:rsid w:val="716C7D1E"/>
    <w:rsid w:val="717F45C1"/>
    <w:rsid w:val="71CC7789"/>
    <w:rsid w:val="71D81D33"/>
    <w:rsid w:val="71E36DCD"/>
    <w:rsid w:val="723A091E"/>
    <w:rsid w:val="72BC6D77"/>
    <w:rsid w:val="72CA13CD"/>
    <w:rsid w:val="72F12F32"/>
    <w:rsid w:val="73632BEE"/>
    <w:rsid w:val="736C4B9D"/>
    <w:rsid w:val="739D72B0"/>
    <w:rsid w:val="73CB6842"/>
    <w:rsid w:val="73E818BC"/>
    <w:rsid w:val="74152116"/>
    <w:rsid w:val="74516FEC"/>
    <w:rsid w:val="74C27860"/>
    <w:rsid w:val="74C34BD5"/>
    <w:rsid w:val="751A6FA5"/>
    <w:rsid w:val="752D076A"/>
    <w:rsid w:val="75735F04"/>
    <w:rsid w:val="75977322"/>
    <w:rsid w:val="75BF1185"/>
    <w:rsid w:val="75C13001"/>
    <w:rsid w:val="75DB1BA3"/>
    <w:rsid w:val="76211057"/>
    <w:rsid w:val="764D53F6"/>
    <w:rsid w:val="765A3618"/>
    <w:rsid w:val="767B57B4"/>
    <w:rsid w:val="768B4C53"/>
    <w:rsid w:val="76962711"/>
    <w:rsid w:val="7705422A"/>
    <w:rsid w:val="770669B6"/>
    <w:rsid w:val="770942F7"/>
    <w:rsid w:val="770B6DCC"/>
    <w:rsid w:val="772E5DB3"/>
    <w:rsid w:val="77A32BD5"/>
    <w:rsid w:val="77A56124"/>
    <w:rsid w:val="77AD55E3"/>
    <w:rsid w:val="77F67246"/>
    <w:rsid w:val="782D37F6"/>
    <w:rsid w:val="78341C19"/>
    <w:rsid w:val="789E355D"/>
    <w:rsid w:val="78B14B56"/>
    <w:rsid w:val="78DD7568"/>
    <w:rsid w:val="79144739"/>
    <w:rsid w:val="79224BCA"/>
    <w:rsid w:val="79297A6C"/>
    <w:rsid w:val="79330DA6"/>
    <w:rsid w:val="794E4BF6"/>
    <w:rsid w:val="795075D7"/>
    <w:rsid w:val="79747653"/>
    <w:rsid w:val="79937F36"/>
    <w:rsid w:val="7A4833B0"/>
    <w:rsid w:val="7AA75D45"/>
    <w:rsid w:val="7AA85EB1"/>
    <w:rsid w:val="7B1A5129"/>
    <w:rsid w:val="7B2D35BC"/>
    <w:rsid w:val="7B7701C3"/>
    <w:rsid w:val="7BA93B33"/>
    <w:rsid w:val="7BCC6AC9"/>
    <w:rsid w:val="7C2422CF"/>
    <w:rsid w:val="7C2D6146"/>
    <w:rsid w:val="7C505248"/>
    <w:rsid w:val="7C6343D1"/>
    <w:rsid w:val="7C964405"/>
    <w:rsid w:val="7CD6310C"/>
    <w:rsid w:val="7D8F1C0B"/>
    <w:rsid w:val="7DBE3C6B"/>
    <w:rsid w:val="7DCD3966"/>
    <w:rsid w:val="7DE275D4"/>
    <w:rsid w:val="7E2E0F06"/>
    <w:rsid w:val="7E3A17E4"/>
    <w:rsid w:val="7EEC73B9"/>
    <w:rsid w:val="7F283BA3"/>
    <w:rsid w:val="7F542167"/>
    <w:rsid w:val="7F8632D6"/>
    <w:rsid w:val="7F896B16"/>
    <w:rsid w:val="7F97148C"/>
    <w:rsid w:val="7FF97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9"/>
    <w:semiHidden/>
    <w:unhideWhenUsed/>
    <w:qFormat/>
    <w:uiPriority w:val="99"/>
    <w:rPr>
      <w:sz w:val="18"/>
      <w:szCs w:val="18"/>
    </w:rPr>
  </w:style>
  <w:style w:type="paragraph" w:styleId="4">
    <w:name w:val="footer"/>
    <w:basedOn w:val="1"/>
    <w:link w:val="22"/>
    <w:unhideWhenUsed/>
    <w:qFormat/>
    <w:uiPriority w:val="99"/>
    <w:pPr>
      <w:tabs>
        <w:tab w:val="center" w:pos="4153"/>
        <w:tab w:val="right" w:pos="8306"/>
      </w:tabs>
      <w:snapToGrid w:val="0"/>
      <w:jc w:val="left"/>
    </w:pPr>
    <w:rPr>
      <w:sz w:val="18"/>
      <w:szCs w:val="18"/>
    </w:rPr>
  </w:style>
  <w:style w:type="paragraph" w:styleId="5">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9">
    <w:name w:val="Strong"/>
    <w:qFormat/>
    <w:uiPriority w:val="0"/>
    <w:rPr>
      <w:rFonts w:ascii="Verdana" w:hAnsi="Verdana" w:eastAsia="仿宋_GB2312" w:cs="Verdana"/>
      <w:b/>
      <w:bCs/>
      <w:kern w:val="0"/>
      <w:sz w:val="28"/>
      <w:szCs w:val="28"/>
      <w:lang w:eastAsia="en-US"/>
    </w:rPr>
  </w:style>
  <w:style w:type="character" w:styleId="10">
    <w:name w:val="FollowedHyperlink"/>
    <w:basedOn w:val="8"/>
    <w:semiHidden/>
    <w:unhideWhenUsed/>
    <w:qFormat/>
    <w:uiPriority w:val="99"/>
    <w:rPr>
      <w:color w:val="333333"/>
      <w:u w:val="none"/>
    </w:rPr>
  </w:style>
  <w:style w:type="character" w:styleId="11">
    <w:name w:val="Emphasis"/>
    <w:basedOn w:val="8"/>
    <w:qFormat/>
    <w:uiPriority w:val="20"/>
    <w:rPr>
      <w:b/>
    </w:rPr>
  </w:style>
  <w:style w:type="character" w:styleId="12">
    <w:name w:val="HTML Definition"/>
    <w:basedOn w:val="8"/>
    <w:semiHidden/>
    <w:unhideWhenUsed/>
    <w:qFormat/>
    <w:uiPriority w:val="99"/>
  </w:style>
  <w:style w:type="character" w:styleId="13">
    <w:name w:val="HTML Variable"/>
    <w:basedOn w:val="8"/>
    <w:semiHidden/>
    <w:unhideWhenUsed/>
    <w:qFormat/>
    <w:uiPriority w:val="99"/>
  </w:style>
  <w:style w:type="character" w:styleId="14">
    <w:name w:val="Hyperlink"/>
    <w:basedOn w:val="8"/>
    <w:semiHidden/>
    <w:unhideWhenUsed/>
    <w:qFormat/>
    <w:uiPriority w:val="99"/>
    <w:rPr>
      <w:color w:val="333333"/>
      <w:u w:val="none"/>
    </w:rPr>
  </w:style>
  <w:style w:type="character" w:styleId="15">
    <w:name w:val="HTML Code"/>
    <w:basedOn w:val="8"/>
    <w:semiHidden/>
    <w:unhideWhenUsed/>
    <w:qFormat/>
    <w:uiPriority w:val="99"/>
    <w:rPr>
      <w:rFonts w:ascii="Courier New" w:hAnsi="Courier New"/>
      <w:sz w:val="20"/>
    </w:rPr>
  </w:style>
  <w:style w:type="character" w:styleId="16">
    <w:name w:val="HTML Cite"/>
    <w:basedOn w:val="8"/>
    <w:semiHidden/>
    <w:unhideWhenUsed/>
    <w:qFormat/>
    <w:uiPriority w:val="99"/>
  </w:style>
  <w:style w:type="character" w:styleId="17">
    <w:name w:val="HTML Keyboard"/>
    <w:basedOn w:val="8"/>
    <w:semiHidden/>
    <w:unhideWhenUsed/>
    <w:qFormat/>
    <w:uiPriority w:val="99"/>
    <w:rPr>
      <w:rFonts w:ascii="Courier New" w:hAnsi="Courier New"/>
      <w:sz w:val="20"/>
    </w:rPr>
  </w:style>
  <w:style w:type="character" w:styleId="18">
    <w:name w:val="HTML Sample"/>
    <w:basedOn w:val="8"/>
    <w:semiHidden/>
    <w:unhideWhenUsed/>
    <w:qFormat/>
    <w:uiPriority w:val="99"/>
    <w:rPr>
      <w:rFonts w:ascii="Courier New" w:hAnsi="Courier New"/>
    </w:rPr>
  </w:style>
  <w:style w:type="character" w:customStyle="1" w:styleId="19">
    <w:name w:val="批注框文本 字符"/>
    <w:basedOn w:val="8"/>
    <w:link w:val="3"/>
    <w:semiHidden/>
    <w:qFormat/>
    <w:uiPriority w:val="99"/>
    <w:rPr>
      <w:sz w:val="18"/>
      <w:szCs w:val="18"/>
    </w:rPr>
  </w:style>
  <w:style w:type="character" w:customStyle="1" w:styleId="20">
    <w:name w:val="标题 1 字符"/>
    <w:basedOn w:val="8"/>
    <w:link w:val="2"/>
    <w:qFormat/>
    <w:uiPriority w:val="9"/>
    <w:rPr>
      <w:rFonts w:ascii="宋体" w:hAnsi="宋体" w:eastAsia="宋体" w:cs="宋体"/>
      <w:b/>
      <w:bCs/>
      <w:kern w:val="36"/>
      <w:sz w:val="48"/>
      <w:szCs w:val="48"/>
    </w:rPr>
  </w:style>
  <w:style w:type="character" w:customStyle="1" w:styleId="21">
    <w:name w:val="页眉 字符"/>
    <w:basedOn w:val="8"/>
    <w:link w:val="5"/>
    <w:qFormat/>
    <w:uiPriority w:val="99"/>
    <w:rPr>
      <w:sz w:val="18"/>
      <w:szCs w:val="18"/>
    </w:rPr>
  </w:style>
  <w:style w:type="character" w:customStyle="1" w:styleId="22">
    <w:name w:val="页脚 字符"/>
    <w:basedOn w:val="8"/>
    <w:link w:val="4"/>
    <w:qFormat/>
    <w:uiPriority w:val="99"/>
    <w:rPr>
      <w:sz w:val="18"/>
      <w:szCs w:val="18"/>
    </w:rPr>
  </w:style>
  <w:style w:type="character" w:customStyle="1" w:styleId="23">
    <w:name w:val="hao12"/>
    <w:basedOn w:val="8"/>
    <w:qFormat/>
    <w:uiPriority w:val="0"/>
    <w:rPr>
      <w:b/>
    </w:rPr>
  </w:style>
  <w:style w:type="character" w:customStyle="1" w:styleId="24">
    <w:name w:val="wz"/>
    <w:basedOn w:val="8"/>
    <w:qFormat/>
    <w:uiPriority w:val="0"/>
    <w:rPr>
      <w:vanish/>
      <w:color w:val="808080"/>
    </w:rPr>
  </w:style>
  <w:style w:type="character" w:customStyle="1" w:styleId="25">
    <w:name w:val="hao1"/>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gq</Company>
  <Pages>13</Pages>
  <Words>3304</Words>
  <Characters>3454</Characters>
  <Lines>29</Lines>
  <Paragraphs>8</Paragraphs>
  <TotalTime>4</TotalTime>
  <ScaleCrop>false</ScaleCrop>
  <LinksUpToDate>false</LinksUpToDate>
  <CharactersWithSpaces>3651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2021-01-08T09:26:00Z</dcterms:created>
  <dc:creator>lb</dc:creator>
  <cp:lastModifiedBy>Administrator</cp:lastModifiedBy>
  <cp:lastPrinted>2021-01-20T06:02:00Z</cp:lastPrinted>
  <dcterms:modified xsi:type="dcterms:W3CDTF">2023-05-18T01:43:57Z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C2266800434C449286EA542E485CCB57_12</vt:lpwstr>
  </property>
</Properties>
</file>