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5AAB6">
      <w:pPr>
        <w:spacing w:line="560" w:lineRule="exact"/>
        <w:jc w:val="left"/>
        <w:rPr>
          <w:rFonts w:ascii="黑体" w:hAnsi="黑体" w:eastAsia="黑体"/>
          <w:sz w:val="32"/>
          <w:szCs w:val="32"/>
        </w:rPr>
      </w:pPr>
    </w:p>
    <w:p w14:paraId="1A442106">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高青县文化和旅游局政府信息公开指南</w:t>
      </w:r>
    </w:p>
    <w:p w14:paraId="71DB896F">
      <w:pPr>
        <w:spacing w:line="540" w:lineRule="exact"/>
        <w:jc w:val="center"/>
        <w:rPr>
          <w:rFonts w:ascii="仿宋_GB2312" w:eastAsia="仿宋_GB2312"/>
          <w:sz w:val="32"/>
          <w:szCs w:val="32"/>
        </w:rPr>
      </w:pPr>
    </w:p>
    <w:p w14:paraId="30740BD4">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文化和旅游局政府信息公开指南》（以下简称《指南》）由高青县文化和旅游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2020D472">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14:paraId="2E1566F9">
      <w:pPr>
        <w:spacing w:line="54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（一）公开范围（包含信息分类和编排体系）</w:t>
      </w:r>
    </w:p>
    <w:p w14:paraId="0E598C55">
      <w:pPr>
        <w:spacing w:line="540" w:lineRule="exact"/>
        <w:ind w:firstLine="640" w:firstLineChars="200"/>
        <w:rPr>
          <w:rFonts w:ascii="仿宋_GB2312" w:eastAsia="仿宋_GB2312"/>
          <w:sz w:val="32"/>
          <w:szCs w:val="32"/>
        </w:rPr>
      </w:pPr>
      <w:r>
        <w:rPr>
          <w:rFonts w:hint="eastAsia" w:ascii="仿宋_GB2312" w:eastAsia="仿宋_GB2312"/>
          <w:sz w:val="32"/>
          <w:szCs w:val="32"/>
        </w:rPr>
        <w:t>1.机构职能</w:t>
      </w:r>
    </w:p>
    <w:p w14:paraId="4D46B927">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w:t>
      </w:r>
      <w:r>
        <w:rPr>
          <w:rFonts w:hint="eastAsia" w:ascii="仿宋_GB2312" w:eastAsia="仿宋_GB2312"/>
          <w:color w:val="000000" w:themeColor="text1"/>
          <w:sz w:val="32"/>
          <w:szCs w:val="32"/>
          <w14:textFill>
            <w14:solidFill>
              <w14:schemeClr w14:val="tx1"/>
            </w14:solidFill>
          </w14:textFill>
        </w:rPr>
        <w:t>；下（直）属单位设置及职能情况；办</w:t>
      </w:r>
      <w:r>
        <w:rPr>
          <w:rFonts w:hint="eastAsia" w:ascii="仿宋_GB2312" w:eastAsia="仿宋_GB2312"/>
          <w:sz w:val="32"/>
          <w:szCs w:val="32"/>
        </w:rPr>
        <w:t>公地址、办公时间、联系方式、负责人姓名、邮政编码等。</w:t>
      </w:r>
    </w:p>
    <w:p w14:paraId="20D54124">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14:paraId="7F2AC221">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14:paraId="62FA4CF6">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14:paraId="211DB371">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w:t>
      </w:r>
      <w:r>
        <w:rPr>
          <w:rFonts w:hint="eastAsia" w:ascii="仿宋_GB2312" w:eastAsia="仿宋_GB2312"/>
          <w:color w:val="000000" w:themeColor="text1"/>
          <w:sz w:val="32"/>
          <w:szCs w:val="32"/>
          <w14:textFill>
            <w14:solidFill>
              <w14:schemeClr w14:val="tx1"/>
            </w14:solidFill>
          </w14:textFill>
        </w:rPr>
        <w:t>括：专项规划；本机</w:t>
      </w:r>
      <w:r>
        <w:rPr>
          <w:rFonts w:hint="eastAsia" w:ascii="仿宋_GB2312" w:eastAsia="仿宋_GB2312"/>
          <w:sz w:val="32"/>
          <w:szCs w:val="32"/>
        </w:rPr>
        <w:t>关阶段性工作计划、工作重点安排等。</w:t>
      </w:r>
    </w:p>
    <w:p w14:paraId="5432F60F">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14:paraId="13D87FB0">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主要包括：公共文化的服务保障政策、服务体系建设、财政资金投入和使用、设施建设和使用信息；公共文化遗产保护、设施名录、政府购买公共文化服务信息；公益性文化服务活动信息；重大决策的意见征集、结果反馈、执行效果评估情况；政府工作报告、年度重点工作、民生实事项目等重要部署执行情况；建议提案办理结果；政府集中采购项目的目录、标准及实施情况；政务服务事项目录；</w:t>
      </w:r>
      <w:r>
        <w:rPr>
          <w:rFonts w:hint="eastAsia" w:ascii="仿宋_GB2312" w:eastAsia="仿宋_GB2312"/>
          <w:color w:val="000000" w:themeColor="text1"/>
          <w:sz w:val="32"/>
          <w:szCs w:val="32"/>
          <w14:textFill>
            <w14:solidFill>
              <w14:schemeClr w14:val="tx1"/>
            </w14:solidFill>
          </w14:textFill>
        </w:rPr>
        <w:t>“双随机、一公开”监管信息；办理行政许可和其他对外管理服务事项的依据、条件、程序以及办理结果；实施行政处罚的依据、条件、程序以及本机关认为具有一定社会影响的行政处罚决定等。</w:t>
      </w:r>
    </w:p>
    <w:p w14:paraId="31518C14">
      <w:pPr>
        <w:spacing w:line="540" w:lineRule="exact"/>
        <w:ind w:firstLine="640" w:firstLineChars="200"/>
        <w:rPr>
          <w:rFonts w:ascii="仿宋_GB2312" w:eastAsia="仿宋_GB2312"/>
          <w:sz w:val="32"/>
          <w:szCs w:val="32"/>
        </w:rPr>
      </w:pPr>
      <w:r>
        <w:rPr>
          <w:rFonts w:hint="eastAsia" w:ascii="仿宋_GB2312" w:eastAsia="仿宋_GB2312"/>
          <w:sz w:val="32"/>
          <w:szCs w:val="32"/>
        </w:rPr>
        <w:t>5.统计数据</w:t>
      </w:r>
    </w:p>
    <w:p w14:paraId="1241B455">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主要包括：本机关部门财政预算、决算报告。</w:t>
      </w:r>
    </w:p>
    <w:p w14:paraId="243E9DA3">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14:paraId="22567426">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主要包括：本机关人事任免信息</w:t>
      </w:r>
      <w:r>
        <w:rPr>
          <w:rFonts w:hint="eastAsia" w:ascii="仿宋_GB2312" w:eastAsia="仿宋_GB2312"/>
          <w:color w:val="FF0000"/>
          <w:sz w:val="32"/>
          <w:szCs w:val="32"/>
        </w:rPr>
        <w:t>。</w:t>
      </w:r>
    </w:p>
    <w:p w14:paraId="6E54677A">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14:paraId="05B4A58F">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14:paraId="33F9C244">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14:paraId="3152CAAF">
      <w:pPr>
        <w:spacing w:line="540" w:lineRule="exact"/>
        <w:ind w:firstLine="600" w:firstLineChars="200"/>
        <w:rPr>
          <w:rFonts w:hint="eastAsia" w:ascii="仿宋_GB2312" w:eastAsia="仿宋_GB2312"/>
          <w:sz w:val="32"/>
          <w:szCs w:val="32"/>
        </w:rPr>
      </w:pPr>
      <w:r>
        <w:rPr>
          <w:rFonts w:hint="eastAsia" w:ascii="仿宋_GB2312" w:eastAsia="仿宋_GB2312"/>
          <w:spacing w:val="0"/>
          <w:w w:val="94"/>
          <w:kern w:val="0"/>
          <w:sz w:val="32"/>
          <w:szCs w:val="32"/>
          <w:fitText w:val="7680" w:id="661991744"/>
        </w:rPr>
        <w:t>1.高青县人民政府网站（http://www.gaoqing.gov.cn）</w:t>
      </w:r>
      <w:r>
        <w:rPr>
          <w:rFonts w:hint="eastAsia" w:ascii="仿宋_GB2312" w:eastAsia="仿宋_GB2312"/>
          <w:spacing w:val="8"/>
          <w:w w:val="94"/>
          <w:kern w:val="0"/>
          <w:sz w:val="32"/>
          <w:szCs w:val="32"/>
          <w:fitText w:val="7680" w:id="661991744"/>
        </w:rPr>
        <w:t>。</w:t>
      </w:r>
    </w:p>
    <w:p w14:paraId="0ED1C573">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《高青县人民政府公报》（http://www.gaoqing.gov.cn/gongkai/channel_c10671/）。</w:t>
      </w:r>
    </w:p>
    <w:p w14:paraId="21F6945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（1）《高青县人民政府公报》线上查阅</w:t>
      </w:r>
    </w:p>
    <w:p w14:paraId="08F101D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可登录高青县人民政府门户网站“政府公报”专栏（http://www.gaoqing.gov.cn/gongkai/channel_c10671/）查阅数字化政府公报，专栏提供了公报查询、下载和打印等功能。</w:t>
      </w:r>
    </w:p>
    <w:p w14:paraId="6F16D17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（2）《高青县人民政府公报》免费赠阅点（线下查阅）</w:t>
      </w:r>
    </w:p>
    <w:p w14:paraId="0540C86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43A9E11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3.政务新媒体：微信公众号“高青政务”（微信号：gaoqingzhengfu）。</w:t>
      </w:r>
    </w:p>
    <w:p w14:paraId="4A1E09A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4.其他：报刊、广播、电视等。</w:t>
      </w:r>
    </w:p>
    <w:p w14:paraId="04B4E1DB">
      <w:pPr>
        <w:spacing w:line="540" w:lineRule="exact"/>
        <w:ind w:firstLine="640" w:firstLineChars="200"/>
        <w:rPr>
          <w:rFonts w:ascii="仿宋_GB2312" w:eastAsia="仿宋_GB2312"/>
          <w:sz w:val="32"/>
          <w:szCs w:val="32"/>
        </w:rPr>
      </w:pPr>
      <w:r>
        <w:rPr>
          <w:rFonts w:hint="eastAsia" w:ascii="仿宋_GB2312" w:eastAsia="仿宋_GB2312"/>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77045631">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14:paraId="19A6EB37">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14:paraId="5FEE12D9">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14:paraId="3419BA30">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45C6435B">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14:paraId="520A1715">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14:paraId="5718C030">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14:paraId="22F80D2E">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申请人可到高青县文化和旅游局办公室现场当面提交申请。</w:t>
      </w:r>
    </w:p>
    <w:p w14:paraId="52122187">
      <w:pPr>
        <w:spacing w:line="540" w:lineRule="exact"/>
        <w:ind w:firstLine="640" w:firstLineChars="200"/>
        <w:rPr>
          <w:rFonts w:ascii="仿宋_GB2312" w:eastAsia="仿宋_GB2312"/>
          <w:sz w:val="32"/>
          <w:szCs w:val="32"/>
        </w:rPr>
      </w:pPr>
      <w:r>
        <w:rPr>
          <w:rFonts w:hint="eastAsia" w:ascii="仿宋_GB2312" w:eastAsia="仿宋_GB2312"/>
          <w:sz w:val="32"/>
          <w:szCs w:val="32"/>
        </w:rPr>
        <w:t>地址：</w:t>
      </w:r>
      <w:r>
        <w:rPr>
          <w:rFonts w:hint="eastAsia" w:ascii="仿宋_GB2312" w:eastAsia="仿宋_GB2312"/>
          <w:color w:val="auto"/>
          <w:sz w:val="32"/>
          <w:szCs w:val="32"/>
        </w:rPr>
        <w:t>山东省淄博市高青县</w:t>
      </w:r>
      <w:r>
        <w:rPr>
          <w:rFonts w:hint="eastAsia" w:ascii="仿宋_GB2312" w:eastAsia="仿宋_GB2312"/>
          <w:sz w:val="32"/>
          <w:szCs w:val="32"/>
        </w:rPr>
        <w:t>青城路47号。</w:t>
      </w:r>
    </w:p>
    <w:p w14:paraId="2FC17675">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7BC490F8">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联系电话：0533-6967181。</w:t>
      </w:r>
    </w:p>
    <w:p w14:paraId="72A1C9E4">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14:paraId="1C296250">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申请人可通过邮政寄送方式向本机关提交申请。受理机构：高青县</w:t>
      </w:r>
      <w:r>
        <w:rPr>
          <w:rFonts w:hint="eastAsia" w:ascii="仿宋_GB2312" w:eastAsia="仿宋_GB2312"/>
          <w:sz w:val="32"/>
          <w:szCs w:val="32"/>
          <w:lang w:eastAsia="zh-CN"/>
        </w:rPr>
        <w:t>文化和旅游局</w:t>
      </w:r>
      <w:r>
        <w:rPr>
          <w:rFonts w:hint="eastAsia" w:ascii="仿宋_GB2312" w:eastAsia="仿宋_GB2312"/>
          <w:sz w:val="32"/>
          <w:szCs w:val="32"/>
        </w:rPr>
        <w:t>办公室。</w:t>
      </w:r>
    </w:p>
    <w:p w14:paraId="5C21A2AA">
      <w:pPr>
        <w:spacing w:line="540" w:lineRule="exact"/>
        <w:ind w:firstLine="640" w:firstLineChars="200"/>
        <w:rPr>
          <w:rFonts w:ascii="仿宋_GB2312" w:eastAsia="仿宋_GB2312"/>
          <w:sz w:val="32"/>
          <w:szCs w:val="32"/>
        </w:rPr>
      </w:pPr>
      <w:r>
        <w:rPr>
          <w:rFonts w:hint="eastAsia" w:ascii="仿宋_GB2312" w:eastAsia="仿宋_GB2312"/>
          <w:sz w:val="32"/>
          <w:szCs w:val="32"/>
        </w:rPr>
        <w:t>来信请寄：</w:t>
      </w:r>
      <w:r>
        <w:rPr>
          <w:rFonts w:hint="eastAsia" w:ascii="仿宋_GB2312" w:eastAsia="仿宋_GB2312"/>
          <w:sz w:val="32"/>
          <w:szCs w:val="32"/>
          <w:lang w:eastAsia="zh-CN"/>
        </w:rPr>
        <w:t>山东省</w:t>
      </w:r>
      <w:r>
        <w:rPr>
          <w:rFonts w:hint="eastAsia" w:ascii="仿宋_GB2312" w:eastAsia="仿宋_GB2312"/>
          <w:sz w:val="32"/>
          <w:szCs w:val="32"/>
        </w:rPr>
        <w:t>淄博市高青县青城路47号，高青县文化和旅游局办公室（收），同时须在信封左下角注明“政府信息公开申请”字样；邮政编码：256300</w:t>
      </w:r>
      <w:r>
        <w:rPr>
          <w:rFonts w:hint="eastAsia" w:ascii="仿宋_GB2312" w:eastAsia="仿宋_GB2312"/>
          <w:sz w:val="32"/>
          <w:szCs w:val="32"/>
          <w:lang w:eastAsia="zh-CN"/>
        </w:rPr>
        <w:t>；</w:t>
      </w:r>
      <w:r>
        <w:rPr>
          <w:rFonts w:hint="eastAsia" w:ascii="仿宋_GB2312" w:eastAsia="仿宋_GB2312"/>
          <w:sz w:val="32"/>
          <w:szCs w:val="32"/>
        </w:rPr>
        <w:t>联系电话：0533-</w:t>
      </w:r>
      <w:r>
        <w:rPr>
          <w:rFonts w:hint="eastAsia" w:ascii="仿宋_GB2312" w:eastAsia="仿宋_GB2312"/>
          <w:sz w:val="32"/>
          <w:szCs w:val="32"/>
          <w:lang w:val="en-US" w:eastAsia="zh-CN"/>
        </w:rPr>
        <w:t>6967181</w:t>
      </w:r>
      <w:r>
        <w:rPr>
          <w:rFonts w:hint="eastAsia" w:ascii="仿宋_GB2312" w:eastAsia="仿宋_GB2312"/>
          <w:sz w:val="32"/>
          <w:szCs w:val="32"/>
        </w:rPr>
        <w:t>。</w:t>
      </w:r>
    </w:p>
    <w:p w14:paraId="3EB4A6D5">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14:paraId="0CBF8AC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高青县人民政府网站（http://www.gaoqing.gov.cn）开通有政府信息公开申请网上提交渠道，受理向本机关提交的政府信息公开申请。申请人可登陆高青县人民政府网站，在政务公开专栏“依申请公开”页面（http://www.gaoqing.gov.cn/jact/front/main.do?sysid=18)，在线填写提交申请。</w:t>
      </w:r>
    </w:p>
    <w:p w14:paraId="12A0C67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411134AF">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14:paraId="4A8734D3">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14:paraId="547F00D2">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t>
      </w:r>
      <w:r>
        <w:rPr>
          <w:rFonts w:hint="eastAsia" w:ascii="仿宋_GB2312" w:eastAsia="仿宋_GB2312"/>
          <w:color w:val="auto"/>
          <w:sz w:val="32"/>
          <w:szCs w:val="32"/>
        </w:rPr>
        <w:t>（http://www.gaoqing.gov.cn）</w:t>
      </w:r>
      <w:r>
        <w:rPr>
          <w:rFonts w:hint="eastAsia" w:ascii="仿宋_GB2312" w:eastAsia="仿宋_GB2312"/>
          <w:sz w:val="32"/>
          <w:szCs w:val="32"/>
        </w:rPr>
        <w:t>下载、打印，复制有效。</w:t>
      </w:r>
    </w:p>
    <w:p w14:paraId="4A0C1390">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63129B3D">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14:paraId="5F265CB0">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14:paraId="147E95F8">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10885802">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14:paraId="45822053">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14:paraId="4EDF4AD4">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14:paraId="72755EEF">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14:paraId="1031B394">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14:paraId="4B06DDF1">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14:paraId="18C7AEC5">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14:paraId="22C576A5">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14:paraId="0B6A3ED3">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14:paraId="4783574B">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14:paraId="6767961B">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5402A29D">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14:paraId="752192A4">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7AE5ABC2">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14:paraId="08412D2F">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14:paraId="1696AB3A">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14:paraId="64CF864E">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517F0DD9">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14:paraId="77DE2533">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24B41576">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14:paraId="7B357B4B">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高青县文化和旅游局政府信息公开工作机构和申请受理机构为：高青县文化和旅游局办公室。</w:t>
      </w:r>
    </w:p>
    <w:p w14:paraId="1703DD3D">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办公地址：高青县青城路47号</w:t>
      </w:r>
    </w:p>
    <w:p w14:paraId="679ADCB1">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邮政编码：256300</w:t>
      </w:r>
    </w:p>
    <w:p w14:paraId="5621D454">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00348FBC">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联系电话：0533- 6967181</w:t>
      </w:r>
    </w:p>
    <w:p w14:paraId="64BA5B1E">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传真：0533- 6967181</w:t>
      </w:r>
    </w:p>
    <w:p w14:paraId="2C1204DC">
      <w:pPr>
        <w:spacing w:line="540" w:lineRule="exact"/>
        <w:ind w:firstLine="640" w:firstLineChars="200"/>
        <w:rPr>
          <w:rFonts w:ascii="仿宋_GB2312" w:eastAsia="仿宋_GB2312"/>
          <w:sz w:val="32"/>
          <w:szCs w:val="32"/>
        </w:rPr>
      </w:pPr>
      <w:r>
        <w:rPr>
          <w:rFonts w:hint="eastAsia" w:ascii="仿宋_GB2312" w:eastAsia="仿宋_GB2312"/>
          <w:sz w:val="32"/>
          <w:szCs w:val="32"/>
        </w:rPr>
        <w:t>电子邮箱：gqxwhhlyj@zb.shandong.cn</w:t>
      </w:r>
      <w:r>
        <w:rPr>
          <w:rStyle w:val="8"/>
          <w:rFonts w:hint="eastAsia" w:ascii="仿宋_GB2312" w:eastAsia="仿宋_GB2312"/>
          <w:color w:val="auto"/>
          <w:sz w:val="32"/>
          <w:szCs w:val="32"/>
          <w:u w:val="none"/>
        </w:rPr>
        <w:t>（此邮箱仅供沟通联系使用，不接受政府信息公开申请）</w:t>
      </w:r>
    </w:p>
    <w:p w14:paraId="6A82A3D2">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14:paraId="6DAF9284">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14:paraId="67BD13D8">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14:paraId="7DDD855C">
      <w:pPr>
        <w:spacing w:line="540" w:lineRule="exact"/>
        <w:ind w:firstLine="640" w:firstLineChars="200"/>
        <w:rPr>
          <w:rFonts w:ascii="仿宋_GB2312" w:eastAsia="仿宋_GB2312"/>
          <w:sz w:val="32"/>
          <w:szCs w:val="32"/>
        </w:rPr>
      </w:pPr>
    </w:p>
    <w:p w14:paraId="34E4D1F9">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w:t>
      </w:r>
      <w:r>
        <w:rPr>
          <w:rFonts w:hint="eastAsia" w:ascii="仿宋_GB2312" w:eastAsia="仿宋_GB2312"/>
          <w:sz w:val="32"/>
          <w:szCs w:val="32"/>
          <w:lang w:eastAsia="zh-CN"/>
        </w:rPr>
        <w:t>政务公开</w:t>
      </w:r>
      <w:r>
        <w:rPr>
          <w:rFonts w:hint="eastAsia" w:ascii="仿宋_GB2312" w:eastAsia="仿宋_GB2312"/>
          <w:sz w:val="32"/>
          <w:szCs w:val="32"/>
        </w:rPr>
        <w:t>科</w:t>
      </w:r>
    </w:p>
    <w:p w14:paraId="585323FB">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14:paraId="22AA562E">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2F844B9E">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3AC65018">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14:paraId="29385551">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14:paraId="5B5CB4F9">
      <w:pPr>
        <w:spacing w:line="540" w:lineRule="exact"/>
        <w:ind w:firstLine="640" w:firstLineChars="200"/>
        <w:rPr>
          <w:rStyle w:val="8"/>
          <w:rFonts w:ascii="仿宋_GB2312" w:eastAsia="仿宋_GB2312"/>
          <w:sz w:val="32"/>
          <w:szCs w:val="32"/>
        </w:rPr>
      </w:pPr>
      <w:r>
        <w:rPr>
          <w:rFonts w:hint="eastAsia" w:ascii="仿宋_GB2312" w:eastAsia="仿宋_GB2312"/>
          <w:sz w:val="32"/>
          <w:szCs w:val="32"/>
        </w:rPr>
        <w:t>电子信箱：gqxzfbgsxxzx@zb.shandong.cn</w:t>
      </w:r>
    </w:p>
    <w:p w14:paraId="73A02D8D">
      <w:pPr>
        <w:spacing w:line="540" w:lineRule="exact"/>
        <w:ind w:firstLine="640" w:firstLineChars="200"/>
        <w:rPr>
          <w:rFonts w:ascii="仿宋_GB2312" w:eastAsia="仿宋_GB2312"/>
          <w:sz w:val="32"/>
          <w:szCs w:val="32"/>
        </w:rPr>
      </w:pPr>
    </w:p>
    <w:p w14:paraId="1EA42EF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行政复议机关：高青县人民政府</w:t>
      </w:r>
    </w:p>
    <w:p w14:paraId="6867409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受理机构：高青县人民政府行政复议办公室</w:t>
      </w:r>
    </w:p>
    <w:p w14:paraId="41BCC7A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办公地址:</w:t>
      </w:r>
      <w:r>
        <w:rPr>
          <w:rFonts w:hint="eastAsia"/>
          <w:color w:val="auto"/>
        </w:rPr>
        <w:t xml:space="preserve"> </w:t>
      </w:r>
      <w:r>
        <w:rPr>
          <w:rFonts w:hint="eastAsia" w:ascii="仿宋_GB2312" w:eastAsia="仿宋_GB2312"/>
          <w:color w:val="auto"/>
          <w:sz w:val="32"/>
          <w:szCs w:val="32"/>
        </w:rPr>
        <w:t>山东省淄博市高青县清河路9号县机关综合办公楼916室</w:t>
      </w:r>
    </w:p>
    <w:p w14:paraId="4AD352AE">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01BF5E53">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3717E100">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联系电话:0533-</w:t>
      </w:r>
      <w:r>
        <w:rPr>
          <w:rFonts w:hint="eastAsia" w:ascii="仿宋_GB2312" w:eastAsia="仿宋_GB2312"/>
          <w:sz w:val="32"/>
          <w:szCs w:val="32"/>
          <w:lang w:val="en-US" w:eastAsia="zh-CN"/>
        </w:rPr>
        <w:t>6981239</w:t>
      </w:r>
    </w:p>
    <w:p w14:paraId="52E9D364">
      <w:pPr>
        <w:spacing w:line="540" w:lineRule="exact"/>
        <w:ind w:firstLine="640" w:firstLineChars="200"/>
        <w:rPr>
          <w:rFonts w:ascii="仿宋_GB2312" w:eastAsia="仿宋_GB2312"/>
          <w:sz w:val="32"/>
          <w:szCs w:val="32"/>
        </w:rPr>
      </w:pPr>
    </w:p>
    <w:p w14:paraId="273163C1">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14:paraId="4CB3BE1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办公地址：山东省淄博市高青县芦湖路以东、长江路以北</w:t>
      </w:r>
    </w:p>
    <w:p w14:paraId="5FFF9FF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办公时间：8:30-12:00，13:30-17:00（工作日）</w:t>
      </w:r>
    </w:p>
    <w:p w14:paraId="3B27BC6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邮政编码：256300</w:t>
      </w:r>
    </w:p>
    <w:p w14:paraId="0E3CA661">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联系电话：0533-</w:t>
      </w:r>
      <w:r>
        <w:rPr>
          <w:rFonts w:hint="eastAsia" w:ascii="仿宋_GB2312" w:eastAsia="仿宋_GB2312"/>
          <w:sz w:val="32"/>
          <w:szCs w:val="32"/>
          <w:lang w:val="en-US" w:eastAsia="zh-CN"/>
        </w:rPr>
        <w:t>6965760</w:t>
      </w:r>
    </w:p>
    <w:p w14:paraId="4D274C76">
      <w:pPr>
        <w:spacing w:line="540" w:lineRule="exact"/>
        <w:ind w:firstLine="640" w:firstLineChars="200"/>
        <w:rPr>
          <w:rFonts w:ascii="仿宋_GB2312" w:eastAsia="仿宋_GB2312"/>
          <w:sz w:val="32"/>
          <w:szCs w:val="32"/>
        </w:rPr>
      </w:pPr>
    </w:p>
    <w:p w14:paraId="585AB073">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14:paraId="18E79D64">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14:paraId="36CCCAA7">
      <w:pPr>
        <w:spacing w:line="540" w:lineRule="exact"/>
        <w:ind w:right="160"/>
        <w:jc w:val="right"/>
        <w:rPr>
          <w:rFonts w:ascii="仿宋_GB2312" w:eastAsia="仿宋_GB2312"/>
          <w:color w:val="FF0000"/>
          <w:sz w:val="32"/>
          <w:szCs w:val="32"/>
        </w:rPr>
      </w:pPr>
    </w:p>
    <w:p w14:paraId="1FFD3795">
      <w:pPr>
        <w:spacing w:line="540" w:lineRule="exact"/>
        <w:ind w:right="160"/>
        <w:jc w:val="right"/>
        <w:rPr>
          <w:rFonts w:ascii="仿宋_GB2312" w:eastAsia="仿宋_GB2312"/>
          <w:color w:val="FF0000"/>
          <w:sz w:val="32"/>
          <w:szCs w:val="32"/>
        </w:rPr>
      </w:pPr>
    </w:p>
    <w:p w14:paraId="60475D64">
      <w:pPr>
        <w:spacing w:line="560" w:lineRule="exact"/>
        <w:rPr>
          <w:rFonts w:ascii="仿宋_GB2312" w:eastAsia="仿宋_GB2312"/>
          <w:sz w:val="32"/>
          <w:szCs w:val="32"/>
        </w:rPr>
      </w:pPr>
    </w:p>
    <w:p w14:paraId="2E3B0678">
      <w:pPr>
        <w:spacing w:line="560" w:lineRule="exact"/>
        <w:rPr>
          <w:rFonts w:ascii="仿宋_GB2312" w:eastAsia="仿宋_GB2312"/>
          <w:sz w:val="32"/>
          <w:szCs w:val="32"/>
        </w:rPr>
      </w:pPr>
      <w:bookmarkStart w:id="0" w:name="_GoBack"/>
      <w:bookmarkEnd w:id="0"/>
    </w:p>
    <w:p w14:paraId="607D62A1">
      <w:pPr>
        <w:spacing w:line="560" w:lineRule="exact"/>
        <w:rPr>
          <w:rFonts w:ascii="黑体" w:hAnsi="黑体" w:eastAsia="黑体"/>
          <w:sz w:val="32"/>
          <w:szCs w:val="32"/>
        </w:rPr>
      </w:pPr>
      <w:r>
        <w:rPr>
          <w:rFonts w:hint="eastAsia" w:ascii="黑体" w:hAnsi="黑体" w:eastAsia="黑体"/>
          <w:sz w:val="32"/>
          <w:szCs w:val="32"/>
        </w:rPr>
        <w:t>附件1：</w:t>
      </w:r>
    </w:p>
    <w:p w14:paraId="3A65A7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1FF0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3512C46D">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14:paraId="64A44E11">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14:paraId="64E58490">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14:paraId="3D8FC82C">
            <w:pPr>
              <w:jc w:val="center"/>
              <w:rPr>
                <w:rFonts w:asciiTheme="majorEastAsia" w:hAnsiTheme="majorEastAsia" w:eastAsiaTheme="majorEastAsia"/>
                <w:szCs w:val="21"/>
              </w:rPr>
            </w:pPr>
          </w:p>
        </w:tc>
        <w:tc>
          <w:tcPr>
            <w:tcW w:w="1311" w:type="dxa"/>
            <w:tcBorders>
              <w:tl2br w:val="nil"/>
              <w:tr2bl w:val="nil"/>
            </w:tcBorders>
            <w:vAlign w:val="center"/>
          </w:tcPr>
          <w:p w14:paraId="00730231">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14:paraId="66008585">
            <w:pPr>
              <w:jc w:val="center"/>
              <w:rPr>
                <w:rFonts w:asciiTheme="majorEastAsia" w:hAnsiTheme="majorEastAsia" w:eastAsiaTheme="majorEastAsia"/>
                <w:szCs w:val="21"/>
              </w:rPr>
            </w:pPr>
          </w:p>
        </w:tc>
      </w:tr>
      <w:tr w14:paraId="5640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DD5C09D">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316DAF4F">
            <w:pPr>
              <w:jc w:val="center"/>
              <w:rPr>
                <w:rFonts w:asciiTheme="majorEastAsia" w:hAnsiTheme="majorEastAsia" w:eastAsiaTheme="majorEastAsia"/>
                <w:szCs w:val="21"/>
              </w:rPr>
            </w:pPr>
          </w:p>
        </w:tc>
        <w:tc>
          <w:tcPr>
            <w:tcW w:w="1480" w:type="dxa"/>
            <w:tcBorders>
              <w:tl2br w:val="nil"/>
              <w:tr2bl w:val="nil"/>
            </w:tcBorders>
            <w:vAlign w:val="center"/>
          </w:tcPr>
          <w:p w14:paraId="7BBE357D">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14:paraId="58272A15">
            <w:pPr>
              <w:jc w:val="center"/>
              <w:rPr>
                <w:rFonts w:asciiTheme="majorEastAsia" w:hAnsiTheme="majorEastAsia" w:eastAsiaTheme="majorEastAsia"/>
                <w:szCs w:val="21"/>
              </w:rPr>
            </w:pPr>
          </w:p>
        </w:tc>
        <w:tc>
          <w:tcPr>
            <w:tcW w:w="1311" w:type="dxa"/>
            <w:tcBorders>
              <w:tl2br w:val="nil"/>
              <w:tr2bl w:val="nil"/>
            </w:tcBorders>
            <w:vAlign w:val="center"/>
          </w:tcPr>
          <w:p w14:paraId="6156D4E8">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14:paraId="52D20586">
            <w:pPr>
              <w:jc w:val="center"/>
              <w:rPr>
                <w:rFonts w:asciiTheme="majorEastAsia" w:hAnsiTheme="majorEastAsia" w:eastAsiaTheme="majorEastAsia"/>
                <w:szCs w:val="21"/>
              </w:rPr>
            </w:pPr>
          </w:p>
        </w:tc>
      </w:tr>
      <w:tr w14:paraId="7C1E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FDD1075">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42B710B7">
            <w:pPr>
              <w:jc w:val="center"/>
              <w:rPr>
                <w:rFonts w:asciiTheme="majorEastAsia" w:hAnsiTheme="majorEastAsia" w:eastAsiaTheme="majorEastAsia"/>
                <w:szCs w:val="21"/>
              </w:rPr>
            </w:pPr>
          </w:p>
        </w:tc>
        <w:tc>
          <w:tcPr>
            <w:tcW w:w="1480" w:type="dxa"/>
            <w:tcBorders>
              <w:tl2br w:val="nil"/>
              <w:tr2bl w:val="nil"/>
            </w:tcBorders>
            <w:vAlign w:val="center"/>
          </w:tcPr>
          <w:p w14:paraId="357BD99C">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14:paraId="5E1CE50C">
            <w:pPr>
              <w:jc w:val="center"/>
              <w:rPr>
                <w:rFonts w:asciiTheme="majorEastAsia" w:hAnsiTheme="majorEastAsia" w:eastAsiaTheme="majorEastAsia"/>
                <w:szCs w:val="21"/>
              </w:rPr>
            </w:pPr>
          </w:p>
        </w:tc>
      </w:tr>
      <w:tr w14:paraId="6B49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B356C84">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003151B3">
            <w:pPr>
              <w:jc w:val="center"/>
              <w:rPr>
                <w:rFonts w:asciiTheme="majorEastAsia" w:hAnsiTheme="majorEastAsia" w:eastAsiaTheme="majorEastAsia"/>
                <w:szCs w:val="21"/>
              </w:rPr>
            </w:pPr>
          </w:p>
        </w:tc>
        <w:tc>
          <w:tcPr>
            <w:tcW w:w="1480" w:type="dxa"/>
            <w:tcBorders>
              <w:tl2br w:val="nil"/>
              <w:tr2bl w:val="nil"/>
            </w:tcBorders>
            <w:vAlign w:val="center"/>
          </w:tcPr>
          <w:p w14:paraId="0DBCB84E">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14:paraId="71228467">
            <w:pPr>
              <w:jc w:val="center"/>
              <w:rPr>
                <w:rFonts w:asciiTheme="majorEastAsia" w:hAnsiTheme="majorEastAsia" w:eastAsiaTheme="majorEastAsia"/>
                <w:szCs w:val="21"/>
              </w:rPr>
            </w:pPr>
          </w:p>
        </w:tc>
        <w:tc>
          <w:tcPr>
            <w:tcW w:w="1311" w:type="dxa"/>
            <w:tcBorders>
              <w:tl2br w:val="nil"/>
              <w:tr2bl w:val="nil"/>
            </w:tcBorders>
            <w:vAlign w:val="center"/>
          </w:tcPr>
          <w:p w14:paraId="14B4026E">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14:paraId="2E16F183">
            <w:pPr>
              <w:jc w:val="center"/>
              <w:rPr>
                <w:rFonts w:asciiTheme="majorEastAsia" w:hAnsiTheme="majorEastAsia" w:eastAsiaTheme="majorEastAsia"/>
                <w:szCs w:val="21"/>
              </w:rPr>
            </w:pPr>
          </w:p>
        </w:tc>
      </w:tr>
      <w:tr w14:paraId="4531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863A68E">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30217F5">
            <w:pPr>
              <w:jc w:val="center"/>
              <w:rPr>
                <w:rFonts w:asciiTheme="majorEastAsia" w:hAnsiTheme="majorEastAsia" w:eastAsiaTheme="majorEastAsia"/>
                <w:szCs w:val="21"/>
              </w:rPr>
            </w:pPr>
          </w:p>
        </w:tc>
        <w:tc>
          <w:tcPr>
            <w:tcW w:w="1480" w:type="dxa"/>
            <w:tcBorders>
              <w:tl2br w:val="nil"/>
              <w:tr2bl w:val="nil"/>
            </w:tcBorders>
            <w:vAlign w:val="center"/>
          </w:tcPr>
          <w:p w14:paraId="5C5D7671">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14:paraId="3442B566">
            <w:pPr>
              <w:jc w:val="center"/>
              <w:rPr>
                <w:rFonts w:asciiTheme="majorEastAsia" w:hAnsiTheme="majorEastAsia" w:eastAsiaTheme="majorEastAsia"/>
                <w:szCs w:val="21"/>
              </w:rPr>
            </w:pPr>
          </w:p>
        </w:tc>
      </w:tr>
      <w:tr w14:paraId="59DC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3213426">
            <w:pPr>
              <w:ind w:firstLine="210" w:firstLineChars="100"/>
              <w:jc w:val="center"/>
              <w:rPr>
                <w:rFonts w:ascii="宋体" w:hAnsi="宋体" w:eastAsia="宋体"/>
                <w:szCs w:val="21"/>
              </w:rPr>
            </w:pPr>
          </w:p>
        </w:tc>
        <w:tc>
          <w:tcPr>
            <w:tcW w:w="717" w:type="dxa"/>
            <w:vMerge w:val="restart"/>
            <w:tcBorders>
              <w:tl2br w:val="nil"/>
              <w:tr2bl w:val="nil"/>
            </w:tcBorders>
            <w:vAlign w:val="center"/>
          </w:tcPr>
          <w:p w14:paraId="223CCD2C">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14:paraId="40971ADD">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14:paraId="5F0EBA96">
            <w:pPr>
              <w:jc w:val="center"/>
              <w:rPr>
                <w:rFonts w:asciiTheme="majorEastAsia" w:hAnsiTheme="majorEastAsia" w:eastAsiaTheme="majorEastAsia"/>
                <w:szCs w:val="21"/>
              </w:rPr>
            </w:pPr>
          </w:p>
        </w:tc>
      </w:tr>
      <w:tr w14:paraId="71C2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9DA23AF">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1AC5B969">
            <w:pPr>
              <w:jc w:val="center"/>
              <w:rPr>
                <w:rFonts w:asciiTheme="majorEastAsia" w:hAnsiTheme="majorEastAsia" w:eastAsiaTheme="majorEastAsia"/>
                <w:szCs w:val="21"/>
              </w:rPr>
            </w:pPr>
          </w:p>
        </w:tc>
        <w:tc>
          <w:tcPr>
            <w:tcW w:w="1480" w:type="dxa"/>
            <w:tcBorders>
              <w:tl2br w:val="nil"/>
              <w:tr2bl w:val="nil"/>
            </w:tcBorders>
            <w:vAlign w:val="center"/>
          </w:tcPr>
          <w:p w14:paraId="67985DD4">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14:paraId="7553CA3B">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14:paraId="547D2567">
            <w:pPr>
              <w:jc w:val="center"/>
              <w:rPr>
                <w:rFonts w:asciiTheme="majorEastAsia" w:hAnsiTheme="majorEastAsia" w:eastAsiaTheme="majorEastAsia"/>
                <w:szCs w:val="21"/>
              </w:rPr>
            </w:pPr>
          </w:p>
        </w:tc>
      </w:tr>
      <w:tr w14:paraId="5E48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A93A863">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ACDE1B8">
            <w:pPr>
              <w:jc w:val="center"/>
              <w:rPr>
                <w:rFonts w:asciiTheme="majorEastAsia" w:hAnsiTheme="majorEastAsia" w:eastAsiaTheme="majorEastAsia"/>
                <w:szCs w:val="21"/>
              </w:rPr>
            </w:pPr>
          </w:p>
        </w:tc>
        <w:tc>
          <w:tcPr>
            <w:tcW w:w="1480" w:type="dxa"/>
            <w:tcBorders>
              <w:tl2br w:val="nil"/>
              <w:tr2bl w:val="nil"/>
            </w:tcBorders>
            <w:vAlign w:val="center"/>
          </w:tcPr>
          <w:p w14:paraId="17B1C37F">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14:paraId="71158158">
            <w:pPr>
              <w:jc w:val="center"/>
              <w:rPr>
                <w:rFonts w:asciiTheme="majorEastAsia" w:hAnsiTheme="majorEastAsia" w:eastAsiaTheme="majorEastAsia"/>
                <w:szCs w:val="21"/>
              </w:rPr>
            </w:pPr>
          </w:p>
        </w:tc>
        <w:tc>
          <w:tcPr>
            <w:tcW w:w="1311" w:type="dxa"/>
            <w:tcBorders>
              <w:tl2br w:val="nil"/>
              <w:tr2bl w:val="nil"/>
            </w:tcBorders>
            <w:vAlign w:val="center"/>
          </w:tcPr>
          <w:p w14:paraId="519410F9">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14:paraId="4026E7BE">
            <w:pPr>
              <w:jc w:val="center"/>
              <w:rPr>
                <w:rFonts w:asciiTheme="majorEastAsia" w:hAnsiTheme="majorEastAsia" w:eastAsiaTheme="majorEastAsia"/>
                <w:szCs w:val="21"/>
              </w:rPr>
            </w:pPr>
          </w:p>
        </w:tc>
      </w:tr>
      <w:tr w14:paraId="46D0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99FA47B">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5E8F785A">
            <w:pPr>
              <w:jc w:val="center"/>
              <w:rPr>
                <w:rFonts w:asciiTheme="majorEastAsia" w:hAnsiTheme="majorEastAsia" w:eastAsiaTheme="majorEastAsia"/>
                <w:szCs w:val="21"/>
              </w:rPr>
            </w:pPr>
          </w:p>
        </w:tc>
        <w:tc>
          <w:tcPr>
            <w:tcW w:w="1480" w:type="dxa"/>
            <w:tcBorders>
              <w:tl2br w:val="nil"/>
              <w:tr2bl w:val="nil"/>
            </w:tcBorders>
            <w:vAlign w:val="center"/>
          </w:tcPr>
          <w:p w14:paraId="6392CC30">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14:paraId="24CE91A4">
            <w:pPr>
              <w:jc w:val="center"/>
              <w:rPr>
                <w:rFonts w:asciiTheme="majorEastAsia" w:hAnsiTheme="majorEastAsia" w:eastAsiaTheme="majorEastAsia"/>
                <w:szCs w:val="21"/>
              </w:rPr>
            </w:pPr>
          </w:p>
        </w:tc>
      </w:tr>
      <w:tr w14:paraId="36BE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1B84C0A">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5AB164BC">
            <w:pPr>
              <w:jc w:val="center"/>
              <w:rPr>
                <w:rFonts w:asciiTheme="majorEastAsia" w:hAnsiTheme="majorEastAsia" w:eastAsiaTheme="majorEastAsia"/>
                <w:szCs w:val="21"/>
              </w:rPr>
            </w:pPr>
          </w:p>
        </w:tc>
        <w:tc>
          <w:tcPr>
            <w:tcW w:w="1480" w:type="dxa"/>
            <w:tcBorders>
              <w:tl2br w:val="nil"/>
              <w:tr2bl w:val="nil"/>
            </w:tcBorders>
            <w:vAlign w:val="center"/>
          </w:tcPr>
          <w:p w14:paraId="08B2681F">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14:paraId="2DC6EDE6">
            <w:pPr>
              <w:jc w:val="center"/>
              <w:rPr>
                <w:rFonts w:asciiTheme="majorEastAsia" w:hAnsiTheme="majorEastAsia" w:eastAsiaTheme="majorEastAsia"/>
                <w:szCs w:val="21"/>
              </w:rPr>
            </w:pPr>
          </w:p>
        </w:tc>
      </w:tr>
      <w:tr w14:paraId="27BA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A67CEBA">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7DF8399E">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14:paraId="039D4118">
            <w:pPr>
              <w:jc w:val="center"/>
              <w:rPr>
                <w:rFonts w:asciiTheme="majorEastAsia" w:hAnsiTheme="majorEastAsia" w:eastAsiaTheme="majorEastAsia"/>
                <w:szCs w:val="21"/>
              </w:rPr>
            </w:pPr>
          </w:p>
        </w:tc>
      </w:tr>
      <w:tr w14:paraId="35EE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8D175BF">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256B6582">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14:paraId="00D4E7F8">
            <w:pPr>
              <w:jc w:val="center"/>
              <w:rPr>
                <w:rFonts w:asciiTheme="majorEastAsia" w:hAnsiTheme="majorEastAsia" w:eastAsiaTheme="majorEastAsia"/>
                <w:szCs w:val="21"/>
              </w:rPr>
            </w:pPr>
          </w:p>
        </w:tc>
      </w:tr>
      <w:tr w14:paraId="29B7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1E7EE87C">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14:paraId="34F24A21">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14:paraId="48F39017">
            <w:pPr>
              <w:jc w:val="center"/>
              <w:rPr>
                <w:rFonts w:asciiTheme="majorEastAsia" w:hAnsiTheme="majorEastAsia" w:eastAsiaTheme="majorEastAsia"/>
                <w:color w:val="000000"/>
                <w:szCs w:val="21"/>
              </w:rPr>
            </w:pPr>
          </w:p>
          <w:p w14:paraId="096EBA2D">
            <w:pPr>
              <w:jc w:val="center"/>
              <w:rPr>
                <w:rFonts w:asciiTheme="majorEastAsia" w:hAnsiTheme="majorEastAsia" w:eastAsiaTheme="majorEastAsia"/>
                <w:color w:val="000000"/>
                <w:szCs w:val="21"/>
              </w:rPr>
            </w:pPr>
          </w:p>
          <w:p w14:paraId="49E1D2FB">
            <w:pPr>
              <w:jc w:val="center"/>
              <w:rPr>
                <w:rFonts w:asciiTheme="majorEastAsia" w:hAnsiTheme="majorEastAsia" w:eastAsiaTheme="majorEastAsia"/>
                <w:color w:val="000000"/>
                <w:szCs w:val="21"/>
              </w:rPr>
            </w:pPr>
          </w:p>
          <w:p w14:paraId="06785DFA">
            <w:pPr>
              <w:jc w:val="center"/>
              <w:rPr>
                <w:rFonts w:asciiTheme="majorEastAsia" w:hAnsiTheme="majorEastAsia" w:eastAsiaTheme="majorEastAsia"/>
                <w:color w:val="000000"/>
                <w:szCs w:val="21"/>
              </w:rPr>
            </w:pPr>
          </w:p>
          <w:p w14:paraId="606DAA97">
            <w:pPr>
              <w:jc w:val="center"/>
              <w:rPr>
                <w:rFonts w:asciiTheme="majorEastAsia" w:hAnsiTheme="majorEastAsia" w:eastAsiaTheme="majorEastAsia"/>
                <w:color w:val="000000"/>
                <w:szCs w:val="21"/>
              </w:rPr>
            </w:pPr>
          </w:p>
          <w:p w14:paraId="1AA1E764">
            <w:pPr>
              <w:jc w:val="center"/>
              <w:rPr>
                <w:rFonts w:asciiTheme="majorEastAsia" w:hAnsiTheme="majorEastAsia" w:eastAsiaTheme="majorEastAsia"/>
                <w:color w:val="000000"/>
                <w:szCs w:val="21"/>
              </w:rPr>
            </w:pPr>
          </w:p>
          <w:p w14:paraId="4277ECE4">
            <w:pPr>
              <w:jc w:val="center"/>
              <w:rPr>
                <w:rFonts w:asciiTheme="majorEastAsia" w:hAnsiTheme="majorEastAsia" w:eastAsiaTheme="majorEastAsia"/>
                <w:color w:val="000000"/>
                <w:szCs w:val="21"/>
              </w:rPr>
            </w:pPr>
          </w:p>
          <w:p w14:paraId="04E23A85">
            <w:pPr>
              <w:jc w:val="center"/>
              <w:rPr>
                <w:rFonts w:asciiTheme="majorEastAsia" w:hAnsiTheme="majorEastAsia" w:eastAsiaTheme="majorEastAsia"/>
                <w:color w:val="000000"/>
                <w:szCs w:val="21"/>
              </w:rPr>
            </w:pPr>
          </w:p>
        </w:tc>
      </w:tr>
      <w:tr w14:paraId="5A33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49CA936">
            <w:pPr>
              <w:jc w:val="center"/>
              <w:rPr>
                <w:rFonts w:ascii="仿宋_GB2312" w:hAnsi="宋体" w:eastAsia="仿宋_GB2312"/>
                <w:color w:val="000000"/>
                <w:szCs w:val="21"/>
              </w:rPr>
            </w:pPr>
          </w:p>
        </w:tc>
        <w:tc>
          <w:tcPr>
            <w:tcW w:w="7556" w:type="dxa"/>
            <w:gridSpan w:val="5"/>
            <w:tcBorders>
              <w:tl2br w:val="nil"/>
              <w:tr2bl w:val="nil"/>
            </w:tcBorders>
            <w:vAlign w:val="center"/>
          </w:tcPr>
          <w:p w14:paraId="2C3EC920">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14:paraId="18B6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4B98709">
            <w:pPr>
              <w:jc w:val="center"/>
              <w:rPr>
                <w:rFonts w:ascii="仿宋_GB2312" w:hAnsi="宋体" w:eastAsia="仿宋_GB2312"/>
                <w:color w:val="000000"/>
                <w:szCs w:val="21"/>
              </w:rPr>
            </w:pPr>
          </w:p>
        </w:tc>
        <w:tc>
          <w:tcPr>
            <w:tcW w:w="2197" w:type="dxa"/>
            <w:gridSpan w:val="2"/>
            <w:tcBorders>
              <w:tl2br w:val="nil"/>
              <w:tr2bl w:val="nil"/>
            </w:tcBorders>
            <w:vAlign w:val="center"/>
          </w:tcPr>
          <w:p w14:paraId="36E7EC0E">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14:paraId="54B05688">
            <w:pPr>
              <w:jc w:val="center"/>
              <w:rPr>
                <w:rFonts w:asciiTheme="majorEastAsia" w:hAnsiTheme="majorEastAsia" w:eastAsiaTheme="majorEastAsia"/>
                <w:color w:val="000000"/>
                <w:szCs w:val="21"/>
              </w:rPr>
            </w:pPr>
          </w:p>
        </w:tc>
      </w:tr>
      <w:tr w14:paraId="49BC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193CB76">
            <w:pPr>
              <w:jc w:val="center"/>
              <w:rPr>
                <w:rFonts w:ascii="仿宋_GB2312" w:hAnsi="宋体" w:eastAsia="仿宋_GB2312"/>
                <w:color w:val="000000"/>
                <w:szCs w:val="21"/>
              </w:rPr>
            </w:pPr>
          </w:p>
        </w:tc>
        <w:tc>
          <w:tcPr>
            <w:tcW w:w="2197" w:type="dxa"/>
            <w:gridSpan w:val="2"/>
            <w:tcBorders>
              <w:tl2br w:val="nil"/>
              <w:tr2bl w:val="nil"/>
            </w:tcBorders>
            <w:vAlign w:val="center"/>
          </w:tcPr>
          <w:p w14:paraId="673E2B1D">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14:paraId="26E6461A">
            <w:pPr>
              <w:jc w:val="center"/>
              <w:rPr>
                <w:rFonts w:asciiTheme="majorEastAsia" w:hAnsiTheme="majorEastAsia" w:eastAsiaTheme="majorEastAsia"/>
                <w:color w:val="000000"/>
                <w:szCs w:val="21"/>
              </w:rPr>
            </w:pPr>
          </w:p>
        </w:tc>
      </w:tr>
      <w:tr w14:paraId="517D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56812776">
            <w:pPr>
              <w:jc w:val="center"/>
              <w:rPr>
                <w:rFonts w:ascii="仿宋_GB2312" w:hAnsi="宋体" w:eastAsia="仿宋_GB2312"/>
                <w:color w:val="000000"/>
                <w:szCs w:val="21"/>
              </w:rPr>
            </w:pPr>
          </w:p>
        </w:tc>
        <w:tc>
          <w:tcPr>
            <w:tcW w:w="2197" w:type="dxa"/>
            <w:gridSpan w:val="2"/>
            <w:tcBorders>
              <w:tl2br w:val="nil"/>
              <w:tr2bl w:val="nil"/>
            </w:tcBorders>
            <w:vAlign w:val="center"/>
          </w:tcPr>
          <w:p w14:paraId="4292A37A">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14:paraId="2E9E438E">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14:paraId="0DAF0676">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14:paraId="3B4E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4CF083CC">
            <w:pPr>
              <w:jc w:val="center"/>
              <w:rPr>
                <w:rFonts w:ascii="仿宋_GB2312" w:hAnsi="宋体" w:eastAsia="仿宋_GB2312"/>
                <w:color w:val="000000"/>
                <w:szCs w:val="21"/>
              </w:rPr>
            </w:pPr>
          </w:p>
        </w:tc>
        <w:tc>
          <w:tcPr>
            <w:tcW w:w="2197" w:type="dxa"/>
            <w:gridSpan w:val="2"/>
            <w:tcBorders>
              <w:tl2br w:val="nil"/>
              <w:tr2bl w:val="nil"/>
            </w:tcBorders>
          </w:tcPr>
          <w:p w14:paraId="786D8A32">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14:paraId="51D42863">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14:paraId="1075E92F">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14:paraId="652E3CB1">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14:paraId="3445E8D3">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14:paraId="263D9004">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0F76DC9C">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14:paraId="41D8156C">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14:paraId="0C6E8C02">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14:paraId="0B864E61">
            <w:pPr>
              <w:rPr>
                <w:rFonts w:asciiTheme="majorEastAsia" w:hAnsiTheme="majorEastAsia" w:eastAsiaTheme="majorEastAsia"/>
                <w:color w:val="000000"/>
                <w:szCs w:val="21"/>
              </w:rPr>
            </w:pPr>
          </w:p>
        </w:tc>
        <w:tc>
          <w:tcPr>
            <w:tcW w:w="2914" w:type="dxa"/>
            <w:tcBorders>
              <w:tl2br w:val="nil"/>
              <w:tr2bl w:val="nil"/>
            </w:tcBorders>
          </w:tcPr>
          <w:p w14:paraId="3C648C63">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14:paraId="7A37C89F">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14:paraId="0FD05C97">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04B008AA">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14:paraId="6368288B">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14:paraId="7021FB80">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14:paraId="655D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0FA58227">
            <w:pPr>
              <w:jc w:val="center"/>
              <w:rPr>
                <w:rFonts w:ascii="仿宋_GB2312" w:hAnsi="宋体" w:eastAsia="仿宋_GB2312"/>
                <w:szCs w:val="21"/>
              </w:rPr>
            </w:pPr>
          </w:p>
        </w:tc>
        <w:tc>
          <w:tcPr>
            <w:tcW w:w="7556" w:type="dxa"/>
            <w:gridSpan w:val="5"/>
            <w:tcBorders>
              <w:tl2br w:val="nil"/>
              <w:tr2bl w:val="nil"/>
            </w:tcBorders>
            <w:vAlign w:val="center"/>
          </w:tcPr>
          <w:p w14:paraId="5AA341C7">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14:paraId="486350A0">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6D050BF3">
      <w:pPr>
        <w:spacing w:line="560" w:lineRule="exact"/>
        <w:rPr>
          <w:rFonts w:ascii="黑体" w:hAnsi="黑体" w:eastAsia="黑体"/>
          <w:sz w:val="32"/>
          <w:szCs w:val="32"/>
        </w:rPr>
      </w:pPr>
      <w:r>
        <w:rPr>
          <w:rFonts w:hint="eastAsia" w:ascii="黑体" w:hAnsi="黑体" w:eastAsia="黑体"/>
          <w:sz w:val="32"/>
          <w:szCs w:val="32"/>
        </w:rPr>
        <w:t xml:space="preserve">附件2：                  </w:t>
      </w:r>
    </w:p>
    <w:p w14:paraId="69A3082F">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14:paraId="31C0B4C3">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582BF835">
      <w:pPr>
        <w:spacing w:line="560" w:lineRule="exact"/>
        <w:ind w:firstLine="640" w:firstLineChars="200"/>
        <w:rPr>
          <w:rFonts w:ascii="仿宋_GB2312" w:eastAsia="仿宋_GB2312"/>
          <w:sz w:val="32"/>
          <w:szCs w:val="32"/>
        </w:rPr>
      </w:pPr>
    </w:p>
    <w:p w14:paraId="62C39C8E">
      <w:pPr>
        <w:spacing w:line="560" w:lineRule="exact"/>
        <w:ind w:firstLine="640" w:firstLineChars="200"/>
        <w:rPr>
          <w:rFonts w:ascii="仿宋_GB2312" w:eastAsia="仿宋_GB2312"/>
          <w:sz w:val="32"/>
          <w:szCs w:val="32"/>
        </w:rPr>
      </w:pPr>
    </w:p>
    <w:p w14:paraId="244AAC19">
      <w:pPr>
        <w:spacing w:line="560" w:lineRule="exact"/>
        <w:ind w:firstLine="640" w:firstLineChars="200"/>
        <w:rPr>
          <w:rFonts w:ascii="仿宋_GB2312" w:eastAsia="仿宋_GB2312"/>
          <w:sz w:val="32"/>
          <w:szCs w:val="32"/>
        </w:rPr>
      </w:pPr>
    </w:p>
    <w:p w14:paraId="534808A8">
      <w:pPr>
        <w:spacing w:line="560" w:lineRule="exact"/>
        <w:ind w:firstLine="640" w:firstLineChars="200"/>
        <w:rPr>
          <w:rFonts w:ascii="仿宋_GB2312" w:eastAsia="仿宋_GB2312"/>
          <w:sz w:val="32"/>
          <w:szCs w:val="32"/>
        </w:rPr>
      </w:pPr>
    </w:p>
    <w:p w14:paraId="5BA027A4">
      <w:pPr>
        <w:spacing w:line="560" w:lineRule="exact"/>
        <w:ind w:firstLine="640" w:firstLineChars="200"/>
        <w:rPr>
          <w:rFonts w:ascii="仿宋_GB2312" w:eastAsia="仿宋_GB2312"/>
          <w:sz w:val="32"/>
          <w:szCs w:val="32"/>
        </w:rPr>
      </w:pPr>
    </w:p>
    <w:p w14:paraId="449DB9BD">
      <w:pPr>
        <w:spacing w:line="560" w:lineRule="exact"/>
        <w:ind w:firstLine="640" w:firstLineChars="200"/>
        <w:rPr>
          <w:rFonts w:ascii="仿宋_GB2312" w:eastAsia="仿宋_GB2312"/>
          <w:sz w:val="32"/>
          <w:szCs w:val="32"/>
        </w:rPr>
      </w:pPr>
    </w:p>
    <w:p w14:paraId="5DF3CE92">
      <w:pPr>
        <w:spacing w:line="560" w:lineRule="exact"/>
        <w:ind w:firstLine="640" w:firstLineChars="200"/>
        <w:rPr>
          <w:rFonts w:ascii="仿宋_GB2312" w:eastAsia="仿宋_GB2312"/>
          <w:sz w:val="32"/>
          <w:szCs w:val="32"/>
        </w:rPr>
      </w:pPr>
    </w:p>
    <w:p w14:paraId="1214F3C6">
      <w:pPr>
        <w:spacing w:line="560" w:lineRule="exact"/>
        <w:ind w:firstLine="640" w:firstLineChars="200"/>
        <w:rPr>
          <w:rFonts w:ascii="仿宋_GB2312" w:eastAsia="仿宋_GB2312"/>
          <w:sz w:val="32"/>
          <w:szCs w:val="32"/>
        </w:rPr>
      </w:pPr>
    </w:p>
    <w:p w14:paraId="140ACA10">
      <w:pPr>
        <w:spacing w:line="560" w:lineRule="exact"/>
        <w:ind w:firstLine="640" w:firstLineChars="200"/>
        <w:rPr>
          <w:rFonts w:ascii="仿宋_GB2312" w:eastAsia="仿宋_GB2312"/>
          <w:sz w:val="32"/>
          <w:szCs w:val="32"/>
        </w:rPr>
      </w:pPr>
    </w:p>
    <w:p w14:paraId="26FB54B9">
      <w:pPr>
        <w:spacing w:line="560" w:lineRule="exact"/>
        <w:ind w:firstLine="640" w:firstLineChars="200"/>
        <w:rPr>
          <w:rFonts w:ascii="仿宋_GB2312" w:eastAsia="仿宋_GB2312"/>
          <w:sz w:val="32"/>
          <w:szCs w:val="32"/>
        </w:rPr>
      </w:pPr>
    </w:p>
    <w:p w14:paraId="15A84746">
      <w:pPr>
        <w:spacing w:line="560" w:lineRule="exact"/>
        <w:ind w:firstLine="640" w:firstLineChars="200"/>
        <w:rPr>
          <w:rFonts w:ascii="仿宋_GB2312" w:eastAsia="仿宋_GB2312"/>
          <w:sz w:val="32"/>
          <w:szCs w:val="32"/>
        </w:rPr>
      </w:pPr>
    </w:p>
    <w:p w14:paraId="53FB74D1">
      <w:pPr>
        <w:spacing w:line="560" w:lineRule="exact"/>
        <w:ind w:firstLine="640" w:firstLineChars="200"/>
        <w:rPr>
          <w:rFonts w:ascii="仿宋_GB2312" w:eastAsia="仿宋_GB2312"/>
          <w:sz w:val="32"/>
          <w:szCs w:val="32"/>
        </w:rPr>
      </w:pPr>
    </w:p>
    <w:p w14:paraId="72A3E977">
      <w:pPr>
        <w:spacing w:line="560" w:lineRule="exact"/>
        <w:ind w:firstLine="640" w:firstLineChars="200"/>
        <w:rPr>
          <w:rFonts w:ascii="仿宋_GB2312" w:eastAsia="仿宋_GB2312"/>
          <w:sz w:val="32"/>
          <w:szCs w:val="32"/>
        </w:rPr>
      </w:pPr>
    </w:p>
    <w:p w14:paraId="6BF18F1D">
      <w:pPr>
        <w:spacing w:line="560" w:lineRule="exact"/>
        <w:ind w:firstLine="640" w:firstLineChars="200"/>
        <w:rPr>
          <w:rFonts w:ascii="仿宋_GB2312" w:eastAsia="仿宋_GB2312"/>
          <w:sz w:val="32"/>
          <w:szCs w:val="32"/>
        </w:rPr>
      </w:pPr>
    </w:p>
    <w:p w14:paraId="733F87B6">
      <w:pPr>
        <w:spacing w:line="560" w:lineRule="exact"/>
        <w:ind w:firstLine="640" w:firstLineChars="200"/>
        <w:rPr>
          <w:rFonts w:ascii="仿宋_GB2312" w:eastAsia="仿宋_GB2312"/>
          <w:sz w:val="32"/>
          <w:szCs w:val="32"/>
        </w:rPr>
      </w:pPr>
    </w:p>
    <w:p w14:paraId="766237FF">
      <w:pPr>
        <w:spacing w:line="560" w:lineRule="exact"/>
        <w:ind w:firstLine="640" w:firstLineChars="200"/>
        <w:rPr>
          <w:rFonts w:ascii="仿宋_GB2312" w:eastAsia="仿宋_GB2312"/>
          <w:sz w:val="32"/>
          <w:szCs w:val="32"/>
        </w:rPr>
      </w:pPr>
    </w:p>
    <w:p w14:paraId="3837C1DC">
      <w:pPr>
        <w:spacing w:line="560" w:lineRule="exact"/>
        <w:rPr>
          <w:rFonts w:ascii="仿宋_GB2312" w:eastAsia="仿宋_GB2312"/>
          <w:sz w:val="32"/>
          <w:szCs w:val="32"/>
        </w:rPr>
      </w:pPr>
    </w:p>
    <w:p w14:paraId="2CAABF68">
      <w:pPr>
        <w:spacing w:line="560" w:lineRule="exact"/>
        <w:rPr>
          <w:rFonts w:ascii="仿宋_GB2312" w:eastAsia="仿宋_GB2312"/>
          <w:sz w:val="32"/>
          <w:szCs w:val="32"/>
        </w:rPr>
      </w:pPr>
    </w:p>
    <w:p w14:paraId="21641ADC">
      <w:pPr>
        <w:spacing w:line="560" w:lineRule="exact"/>
        <w:rPr>
          <w:rFonts w:ascii="仿宋_GB2312" w:eastAsia="仿宋_GB2312"/>
          <w:sz w:val="32"/>
          <w:szCs w:val="32"/>
        </w:rPr>
      </w:pPr>
    </w:p>
    <w:p w14:paraId="506FDDCE">
      <w:pPr>
        <w:spacing w:line="560" w:lineRule="exact"/>
        <w:ind w:firstLine="640" w:firstLineChars="200"/>
        <w:rPr>
          <w:rFonts w:ascii="仿宋_GB2312" w:eastAsia="仿宋_GB2312"/>
          <w:sz w:val="32"/>
          <w:szCs w:val="32"/>
        </w:rPr>
      </w:pPr>
    </w:p>
    <w:p w14:paraId="66227216">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TdkYTNkYjViNTc5ZjVhOGJiYjQ3OTk2MGFkZjQ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804BC"/>
    <w:rsid w:val="002A56D5"/>
    <w:rsid w:val="002B1C11"/>
    <w:rsid w:val="002E49E5"/>
    <w:rsid w:val="0036063E"/>
    <w:rsid w:val="003832B9"/>
    <w:rsid w:val="003A372B"/>
    <w:rsid w:val="003B4F48"/>
    <w:rsid w:val="003C2A0B"/>
    <w:rsid w:val="00410D97"/>
    <w:rsid w:val="0041578C"/>
    <w:rsid w:val="00424549"/>
    <w:rsid w:val="00443BE2"/>
    <w:rsid w:val="004B28AD"/>
    <w:rsid w:val="004D6077"/>
    <w:rsid w:val="0051471E"/>
    <w:rsid w:val="00557C61"/>
    <w:rsid w:val="00566594"/>
    <w:rsid w:val="0058544C"/>
    <w:rsid w:val="0059439E"/>
    <w:rsid w:val="005B13C0"/>
    <w:rsid w:val="005E00D0"/>
    <w:rsid w:val="005F591D"/>
    <w:rsid w:val="00627CA2"/>
    <w:rsid w:val="0065324D"/>
    <w:rsid w:val="00655265"/>
    <w:rsid w:val="0065643A"/>
    <w:rsid w:val="006A2B46"/>
    <w:rsid w:val="006B54B2"/>
    <w:rsid w:val="006B613D"/>
    <w:rsid w:val="006C71E8"/>
    <w:rsid w:val="006E408E"/>
    <w:rsid w:val="006F274F"/>
    <w:rsid w:val="00754E50"/>
    <w:rsid w:val="00761089"/>
    <w:rsid w:val="00794F7A"/>
    <w:rsid w:val="007F06BA"/>
    <w:rsid w:val="008367DB"/>
    <w:rsid w:val="008570A8"/>
    <w:rsid w:val="00860362"/>
    <w:rsid w:val="008604C8"/>
    <w:rsid w:val="00891960"/>
    <w:rsid w:val="008A3FE9"/>
    <w:rsid w:val="008C7C6C"/>
    <w:rsid w:val="008D2194"/>
    <w:rsid w:val="008D50CB"/>
    <w:rsid w:val="008F0EF8"/>
    <w:rsid w:val="009312DB"/>
    <w:rsid w:val="00966D97"/>
    <w:rsid w:val="00970CCA"/>
    <w:rsid w:val="0097524A"/>
    <w:rsid w:val="00985413"/>
    <w:rsid w:val="00995BBF"/>
    <w:rsid w:val="009B3188"/>
    <w:rsid w:val="00A6239C"/>
    <w:rsid w:val="00A62AC6"/>
    <w:rsid w:val="00A749EF"/>
    <w:rsid w:val="00A83F85"/>
    <w:rsid w:val="00A942B6"/>
    <w:rsid w:val="00AB1AC2"/>
    <w:rsid w:val="00AE5534"/>
    <w:rsid w:val="00B469AB"/>
    <w:rsid w:val="00B71FB7"/>
    <w:rsid w:val="00B918F9"/>
    <w:rsid w:val="00BA5699"/>
    <w:rsid w:val="00BC54CA"/>
    <w:rsid w:val="00BD07F9"/>
    <w:rsid w:val="00BD38A1"/>
    <w:rsid w:val="00BF45A2"/>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2EF43AC"/>
    <w:rsid w:val="036F19C4"/>
    <w:rsid w:val="0444596E"/>
    <w:rsid w:val="05A07664"/>
    <w:rsid w:val="06C03556"/>
    <w:rsid w:val="06F81DE6"/>
    <w:rsid w:val="07760CF7"/>
    <w:rsid w:val="07E85486"/>
    <w:rsid w:val="0AF0189D"/>
    <w:rsid w:val="0BBA71D4"/>
    <w:rsid w:val="0EFB080A"/>
    <w:rsid w:val="0FCF4B9B"/>
    <w:rsid w:val="105F4E9C"/>
    <w:rsid w:val="10EB2862"/>
    <w:rsid w:val="118439DD"/>
    <w:rsid w:val="13453BE7"/>
    <w:rsid w:val="1394157D"/>
    <w:rsid w:val="144F03E0"/>
    <w:rsid w:val="171012AF"/>
    <w:rsid w:val="17A2484D"/>
    <w:rsid w:val="19E55DF7"/>
    <w:rsid w:val="1A5E34F7"/>
    <w:rsid w:val="1A6E3E8A"/>
    <w:rsid w:val="1DDA4AC0"/>
    <w:rsid w:val="1ED6301C"/>
    <w:rsid w:val="1F4E2A89"/>
    <w:rsid w:val="1FBD6CF4"/>
    <w:rsid w:val="201A430A"/>
    <w:rsid w:val="21023838"/>
    <w:rsid w:val="214F4522"/>
    <w:rsid w:val="247D20BC"/>
    <w:rsid w:val="24A06E44"/>
    <w:rsid w:val="26715CFE"/>
    <w:rsid w:val="27EE3F28"/>
    <w:rsid w:val="2B5D5DE7"/>
    <w:rsid w:val="2B906217"/>
    <w:rsid w:val="2BB507AF"/>
    <w:rsid w:val="2CDF0210"/>
    <w:rsid w:val="2DB90791"/>
    <w:rsid w:val="2E4A4EAC"/>
    <w:rsid w:val="2F405FFB"/>
    <w:rsid w:val="31CC7363"/>
    <w:rsid w:val="34E140E4"/>
    <w:rsid w:val="35692C6E"/>
    <w:rsid w:val="37912F69"/>
    <w:rsid w:val="37B77E33"/>
    <w:rsid w:val="3886289D"/>
    <w:rsid w:val="392B3927"/>
    <w:rsid w:val="39C80A67"/>
    <w:rsid w:val="3B8E59B2"/>
    <w:rsid w:val="3C792D83"/>
    <w:rsid w:val="3EEA02FE"/>
    <w:rsid w:val="3F235B99"/>
    <w:rsid w:val="3F2A78DA"/>
    <w:rsid w:val="40507814"/>
    <w:rsid w:val="40C1143C"/>
    <w:rsid w:val="4174541C"/>
    <w:rsid w:val="423D2559"/>
    <w:rsid w:val="43473652"/>
    <w:rsid w:val="43677A4A"/>
    <w:rsid w:val="46EB74BB"/>
    <w:rsid w:val="473F166D"/>
    <w:rsid w:val="4C07126B"/>
    <w:rsid w:val="4E8D6034"/>
    <w:rsid w:val="50207AEE"/>
    <w:rsid w:val="518103E0"/>
    <w:rsid w:val="52A03014"/>
    <w:rsid w:val="53677828"/>
    <w:rsid w:val="54120DD7"/>
    <w:rsid w:val="54F95987"/>
    <w:rsid w:val="55744553"/>
    <w:rsid w:val="57352249"/>
    <w:rsid w:val="588D3F15"/>
    <w:rsid w:val="598318F5"/>
    <w:rsid w:val="5A017792"/>
    <w:rsid w:val="5B4B0739"/>
    <w:rsid w:val="5D7B09BD"/>
    <w:rsid w:val="61BD2894"/>
    <w:rsid w:val="62F146D1"/>
    <w:rsid w:val="630E65BB"/>
    <w:rsid w:val="66A20F3C"/>
    <w:rsid w:val="67025391"/>
    <w:rsid w:val="676A7767"/>
    <w:rsid w:val="67C90FBE"/>
    <w:rsid w:val="68855D30"/>
    <w:rsid w:val="68912AC1"/>
    <w:rsid w:val="692646EE"/>
    <w:rsid w:val="6B316A0F"/>
    <w:rsid w:val="6CAE0262"/>
    <w:rsid w:val="71827B88"/>
    <w:rsid w:val="729242B0"/>
    <w:rsid w:val="72E96E45"/>
    <w:rsid w:val="730B0F78"/>
    <w:rsid w:val="75541E4D"/>
    <w:rsid w:val="7AA22A08"/>
    <w:rsid w:val="7C0B6572"/>
    <w:rsid w:val="7EB37385"/>
    <w:rsid w:val="7F265BC2"/>
    <w:rsid w:val="7F77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3983</Words>
  <Characters>4588</Characters>
  <Lines>29</Lines>
  <Paragraphs>8</Paragraphs>
  <TotalTime>1</TotalTime>
  <ScaleCrop>false</ScaleCrop>
  <LinksUpToDate>false</LinksUpToDate>
  <CharactersWithSpaces>4640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酷</cp:lastModifiedBy>
  <cp:lastPrinted>2021-02-26T08:12:00Z</cp:lastPrinted>
  <dcterms:modified xsi:type="dcterms:W3CDTF">2024-11-29T01:50:43Z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5E0C09D50A1F44C69689A1D9CF6F1A7C</vt:lpwstr>
  </property>
</Properties>
</file>