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高青县文化和旅游局</w:t>
      </w: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文化和旅游局办公室联系（地址：山东省淄博市高青县青城路43号；邮编：256301；电话：0533-6967181；传真：0533-6967181）。</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rPr>
      </w:pPr>
      <w:r>
        <w:rPr>
          <w:rFonts w:hint="eastAsia" w:ascii="仿宋_GB2312" w:eastAsia="仿宋_GB2312"/>
        </w:rPr>
        <w:t>深入贯彻落实《中华人民共和国政府信息公开条例》，围绕县委、县政府中心工作和文化旅游领域重点工作，研究制定了《高青县文化和旅游局2021年政务公开工作实施方案》《高青县文化和旅游局2021年政务公开工作培训计划》。加大政府信息主动公开力度，2021年通过县政府网站共公开信息158条。其中，公开机构职能调整情况1条、部门文件4条、财政预决算信息12条、重要部署执行情况12条、行政执法公示9条，在“公共文化体育”栏目专门公开公共文化服务事项，公布2021年高青县实施文体惠民提升群众文体生活满意度总体方案1条、2021年高青县“文化惠民 送戏下乡”活动方案1条、名录信息18条、公共服务信息31条。2021年出台的主动公开政策文件共4件，对其中2件与群众密切相关的文件进行了解读。</w:t>
      </w:r>
    </w:p>
    <w:p>
      <w:pPr>
        <w:spacing w:after="156" w:afterLines="50" w:line="240" w:lineRule="auto"/>
        <w:ind w:firstLine="0"/>
        <w:jc w:val="center"/>
        <w:rPr>
          <w:rFonts w:ascii="仿宋_GB2312" w:eastAsia="仿宋_GB2312"/>
        </w:rPr>
      </w:pPr>
      <w:r>
        <w:rPr>
          <w:rFonts w:hint="eastAsia" w:ascii="仿宋_GB2312" w:eastAsia="仿宋_GB2312"/>
        </w:rPr>
        <w:drawing>
          <wp:inline distT="0" distB="0" distL="114300" distR="114300">
            <wp:extent cx="4838700" cy="3276600"/>
            <wp:effectExtent l="0" t="0" r="0" b="0"/>
            <wp:docPr id="1" name="图片 1" descr="公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开1"/>
                    <pic:cNvPicPr>
                      <a:picLocks noChangeAspect="1"/>
                    </pic:cNvPicPr>
                  </pic:nvPicPr>
                  <pic:blipFill>
                    <a:blip r:embed="rId6"/>
                    <a:stretch>
                      <a:fillRect/>
                    </a:stretch>
                  </pic:blipFill>
                  <pic:spPr>
                    <a:xfrm>
                      <a:off x="0" y="0"/>
                      <a:ext cx="4837762" cy="3275965"/>
                    </a:xfrm>
                    <a:prstGeom prst="rect">
                      <a:avLst/>
                    </a:prstGeom>
                  </pic:spPr>
                </pic:pic>
              </a:graphicData>
            </a:graphic>
          </wp:inline>
        </w:drawing>
      </w:r>
    </w:p>
    <w:p>
      <w:pPr>
        <w:spacing w:line="240" w:lineRule="auto"/>
        <w:ind w:firstLine="0"/>
        <w:jc w:val="center"/>
        <w:rPr>
          <w:rFonts w:ascii="仿宋_GB2312" w:eastAsia="仿宋_GB2312"/>
        </w:rPr>
      </w:pPr>
      <w:r>
        <w:rPr>
          <w:rFonts w:ascii="仿宋_GB2312" w:eastAsia="仿宋_GB2312"/>
        </w:rPr>
        <w:drawing>
          <wp:inline distT="0" distB="0" distL="114300" distR="114300">
            <wp:extent cx="4838700" cy="3416300"/>
            <wp:effectExtent l="0" t="0" r="0" b="0"/>
            <wp:docPr id="3" name="图片 3" descr="公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开3"/>
                    <pic:cNvPicPr>
                      <a:picLocks noChangeAspect="1"/>
                    </pic:cNvPicPr>
                  </pic:nvPicPr>
                  <pic:blipFill>
                    <a:blip r:embed="rId7"/>
                    <a:stretch>
                      <a:fillRect/>
                    </a:stretch>
                  </pic:blipFill>
                  <pic:spPr>
                    <a:xfrm>
                      <a:off x="0" y="0"/>
                      <a:ext cx="4839283" cy="3416935"/>
                    </a:xfrm>
                    <a:prstGeom prst="rect">
                      <a:avLst/>
                    </a:prstGeom>
                  </pic:spPr>
                </pic:pic>
              </a:graphicData>
            </a:graphic>
          </wp:inline>
        </w:drawing>
      </w:r>
    </w:p>
    <w:p>
      <w:pPr>
        <w:spacing w:line="56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2021年未收到政府信息公开申请，上年度未结转政府信息公开申请，未因政府信息公开被申请行政复议、提起行政诉讼。</w:t>
      </w:r>
    </w:p>
    <w:p>
      <w:pPr>
        <w:spacing w:line="560" w:lineRule="exact"/>
        <w:jc w:val="left"/>
        <w:rPr>
          <w:rFonts w:ascii="楷体_GB2312" w:eastAsia="楷体_GB2312"/>
        </w:rPr>
      </w:pPr>
      <w:r>
        <w:rPr>
          <w:rFonts w:hint="eastAsia" w:ascii="楷体_GB2312" w:eastAsia="楷体_GB2312"/>
        </w:rPr>
        <w:t>（三）政府信息管理</w:t>
      </w:r>
    </w:p>
    <w:p>
      <w:pPr>
        <w:spacing w:line="560" w:lineRule="exact"/>
        <w:jc w:val="left"/>
        <w:rPr>
          <w:rFonts w:ascii="仿宋_GB2312" w:hAnsi="仿宋_GB2312" w:eastAsia="仿宋_GB2312" w:cs="仿宋_GB2312"/>
          <w:kern w:val="2"/>
          <w:szCs w:val="32"/>
        </w:rPr>
      </w:pPr>
      <w:r>
        <w:rPr>
          <w:rFonts w:hint="eastAsia" w:ascii="仿宋_GB2312" w:hAnsi="仿宋_GB2312" w:eastAsia="仿宋_GB2312" w:cs="仿宋_GB2312"/>
          <w:kern w:val="2"/>
          <w:szCs w:val="32"/>
        </w:rPr>
        <w:t>制定政策文件管理制度，完善规范性文件的立项、拟稿、论证、报批、审查、发布、备案等程序，严格按程序制定文件，严把质量关，提高规范性文件的拟定质量。制定</w:t>
      </w:r>
      <w:r>
        <w:rPr>
          <w:rFonts w:hint="eastAsia" w:ascii="仿宋_GB2312" w:eastAsia="仿宋_GB2312"/>
          <w:szCs w:val="32"/>
        </w:rPr>
        <w:t>政府信息动态调整制度，</w:t>
      </w:r>
      <w:r>
        <w:rPr>
          <w:rFonts w:hint="eastAsia" w:ascii="仿宋_GB2312" w:hAnsi="仿宋_GB2312" w:eastAsia="仿宋_GB2312" w:cs="仿宋_GB2312"/>
          <w:kern w:val="2"/>
          <w:szCs w:val="32"/>
        </w:rPr>
        <w:t>认真做好部门内规范性文件的清理工作，掌握立废情况，确保政策的有效性和持续性。</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jc w:val="left"/>
        <w:rPr>
          <w:rFonts w:ascii="楷体_GB2312" w:eastAsia="楷体_GB2312"/>
        </w:rPr>
      </w:pPr>
      <w:r>
        <w:rPr>
          <w:rFonts w:hint="eastAsia" w:ascii="仿宋_GB2312" w:hAnsi="仿宋_GB2312" w:eastAsia="仿宋_GB2312" w:cs="仿宋_GB2312"/>
          <w:kern w:val="2"/>
          <w:szCs w:val="32"/>
        </w:rPr>
        <w:t>坚持将政府网站作为政府信息公开一平台，加大主动公开力度，提高信息发布、解读回应、政民互动整体水平。充分发挥“高青文旅”新媒体平台作用，除每周发布工作动态，公开文旅工作外，还开设了政府网站入口、办事服务、互动平台等栏目，方便群众查询信息、推进公开。通过图书馆大厅大数据分析展示平台，将图书馆最近一段时间内借阅量、借阅排行、活动海报或者宣传视频等，在数据平台展示，给用户做借阅参考。在数据平台设置公开栏目，向群众展示政府工作近况。</w:t>
      </w:r>
    </w:p>
    <w:p>
      <w:pPr>
        <w:spacing w:line="56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hAnsi="仿宋_GB2312" w:eastAsia="仿宋_GB2312" w:cs="仿宋_GB2312"/>
          <w:color w:val="333333"/>
          <w:szCs w:val="32"/>
          <w:shd w:val="clear" w:color="auto" w:fill="FFFFFF"/>
        </w:rPr>
      </w:pPr>
      <w:r>
        <w:rPr>
          <w:rFonts w:hint="eastAsia" w:ascii="仿宋_GB2312" w:eastAsia="仿宋_GB2312"/>
          <w:szCs w:val="32"/>
        </w:rPr>
        <w:t>根据局人员变动，调整政务公开领导小组，办公室负责推进全局政务公开工作，并配备2名专职人员、9名兼职人员，分工合作、相互配合做好工作。本年度共开展4次培训，</w:t>
      </w:r>
      <w:r>
        <w:rPr>
          <w:rFonts w:hint="eastAsia" w:ascii="仿宋_GB2312" w:eastAsia="仿宋_GB2312"/>
          <w:szCs w:val="32"/>
          <w:lang w:val="en-US" w:eastAsia="zh-CN"/>
        </w:rPr>
        <w:t>帮</w:t>
      </w:r>
      <w:bookmarkStart w:id="0" w:name="_GoBack"/>
      <w:bookmarkEnd w:id="0"/>
      <w:r>
        <w:rPr>
          <w:rFonts w:hint="eastAsia" w:ascii="仿宋_GB2312" w:eastAsia="仿宋_GB2312"/>
          <w:szCs w:val="32"/>
        </w:rPr>
        <w:t>助政务公开工作人员更快地了解相关基本工作，提高工作能力。</w:t>
      </w:r>
    </w:p>
    <w:p>
      <w:pPr>
        <w:spacing w:line="560" w:lineRule="exact"/>
        <w:ind w:firstLine="640" w:firstLineChars="200"/>
        <w:rPr>
          <w:rFonts w:ascii="仿宋_GB2312" w:eastAsia="仿宋_GB2312"/>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hint="eastAsia"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30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trHeight w:val="307" w:hRule="atLeast"/>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jc w:val="left"/>
        <w:rPr>
          <w:rFonts w:ascii="楷体_GB2312" w:eastAsia="楷体_GB2312"/>
        </w:rPr>
      </w:pPr>
      <w:r>
        <w:rPr>
          <w:rFonts w:hint="eastAsia" w:ascii="楷体_GB2312" w:eastAsia="楷体_GB231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一是部分科室对政务信息公开的认识不深，对公开的意义理解不够全面，导致重视程度不够高，与政务公开工作负责人配合不密切。</w:t>
      </w:r>
    </w:p>
    <w:p>
      <w:pPr>
        <w:spacing w:line="560" w:lineRule="exact"/>
        <w:ind w:firstLine="640" w:firstLineChars="200"/>
        <w:rPr>
          <w:rFonts w:ascii="仿宋_GB2312" w:eastAsia="仿宋_GB2312"/>
          <w:szCs w:val="32"/>
        </w:rPr>
      </w:pPr>
      <w:r>
        <w:rPr>
          <w:rFonts w:hint="eastAsia" w:ascii="仿宋_GB2312" w:eastAsia="仿宋_GB2312"/>
          <w:szCs w:val="32"/>
        </w:rPr>
        <w:t>二是主动公开意识有待增强，尤其是政策解读数量较少、质量不高,影响到政务公开工作的落实。</w:t>
      </w:r>
    </w:p>
    <w:p>
      <w:pPr>
        <w:spacing w:line="560" w:lineRule="exact"/>
        <w:ind w:firstLine="640" w:firstLineChars="200"/>
        <w:rPr>
          <w:rFonts w:ascii="仿宋_GB2312" w:eastAsia="仿宋_GB2312"/>
          <w:szCs w:val="32"/>
        </w:rPr>
      </w:pPr>
      <w:r>
        <w:rPr>
          <w:rFonts w:hint="eastAsia" w:ascii="仿宋_GB2312" w:eastAsia="仿宋_GB2312"/>
          <w:szCs w:val="32"/>
        </w:rPr>
        <w:t>三是重点领域信息公开还存在内容不具体、时间不及时等问题。</w:t>
      </w:r>
    </w:p>
    <w:p>
      <w:pPr>
        <w:spacing w:line="560" w:lineRule="exact"/>
        <w:jc w:val="left"/>
        <w:rPr>
          <w:rFonts w:ascii="楷体_GB2312" w:eastAsia="楷体_GB2312"/>
        </w:rPr>
      </w:pPr>
      <w:r>
        <w:rPr>
          <w:rFonts w:hint="eastAsia" w:ascii="楷体_GB2312" w:eastAsia="楷体_GB2312"/>
        </w:rPr>
        <w:t>（二）改进措施</w:t>
      </w:r>
    </w:p>
    <w:p>
      <w:pPr>
        <w:spacing w:line="560" w:lineRule="exact"/>
        <w:ind w:firstLine="640" w:firstLineChars="200"/>
        <w:rPr>
          <w:rFonts w:ascii="仿宋_GB2312" w:eastAsia="仿宋_GB2312"/>
          <w:szCs w:val="32"/>
        </w:rPr>
      </w:pPr>
      <w:r>
        <w:rPr>
          <w:rFonts w:hint="eastAsia" w:ascii="仿宋_GB2312" w:eastAsia="仿宋_GB2312"/>
          <w:szCs w:val="32"/>
        </w:rPr>
        <w:t>一是加大政务公开人才队伍培养。加强政府信息公开业务学习和培训，通过开展培训会和业务交流会，提高业务人员的素质，打造工作作风实、业务能力强的信息公开人才队伍。</w:t>
      </w:r>
    </w:p>
    <w:p>
      <w:pPr>
        <w:spacing w:line="560" w:lineRule="exact"/>
        <w:ind w:firstLine="640" w:firstLineChars="200"/>
        <w:rPr>
          <w:rFonts w:ascii="仿宋_GB2312" w:eastAsia="仿宋_GB2312"/>
          <w:szCs w:val="32"/>
        </w:rPr>
      </w:pPr>
      <w:r>
        <w:rPr>
          <w:rFonts w:hint="eastAsia" w:ascii="仿宋_GB2312" w:eastAsia="仿宋_GB2312"/>
          <w:szCs w:val="32"/>
        </w:rPr>
        <w:t>二是明确了政策解读的责任主体、解读范围、解读内容,要求各科室按照“谁起草谁解读”的原则，在重要政策出台、重点工作推进、重大事件发生时，主动履行政策解读、信息发布职责。</w:t>
      </w:r>
    </w:p>
    <w:p>
      <w:pPr>
        <w:spacing w:line="560" w:lineRule="exact"/>
        <w:ind w:firstLine="640" w:firstLineChars="200"/>
        <w:rPr>
          <w:rFonts w:ascii="仿宋_GB2312" w:eastAsia="仿宋_GB2312"/>
          <w:szCs w:val="32"/>
        </w:rPr>
      </w:pPr>
      <w:r>
        <w:rPr>
          <w:rFonts w:hint="eastAsia" w:ascii="仿宋_GB2312" w:eastAsia="仿宋_GB2312"/>
          <w:szCs w:val="32"/>
        </w:rPr>
        <w:t>三是分解任务、明确分工、清晰权责，将政务公开工作开展情况纳入干部绩效考核，提高各科室报送信息的积极性和信息公开的自觉性，确保及时发布和更新信息，不断提高我局政府信息公开工作的水平和质量。扩大信息公开范围，增加公开的内容，进一步完善县文化和旅游局门户网站建设，充实网站内容，以便让更多的人了解文旅工作。</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jc w:val="left"/>
        <w:rPr>
          <w:rFonts w:ascii="楷体_GB2312" w:eastAsia="楷体_GB2312"/>
        </w:rPr>
      </w:pPr>
      <w:r>
        <w:rPr>
          <w:rFonts w:hint="eastAsia" w:ascii="楷体_GB2312" w:eastAsia="楷体_GB2312"/>
        </w:rPr>
        <w:t>（一）收取信息处理费情况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jc w:val="left"/>
        <w:rPr>
          <w:rFonts w:ascii="楷体_GB2312" w:eastAsia="楷体_GB2312"/>
        </w:rPr>
      </w:pPr>
      <w:r>
        <w:rPr>
          <w:rFonts w:hint="eastAsia" w:ascii="楷体_GB2312" w:eastAsia="楷体_GB2312"/>
        </w:rPr>
        <w:t>（二）落实上级年度政务公开工作要点情况</w:t>
      </w:r>
    </w:p>
    <w:p>
      <w:pPr>
        <w:spacing w:line="560" w:lineRule="exact"/>
        <w:ind w:firstLine="640" w:firstLineChars="200"/>
        <w:jc w:val="left"/>
        <w:rPr>
          <w:rFonts w:ascii="仿宋_GB2312" w:eastAsia="仿宋_GB2312"/>
          <w:color w:val="000000" w:themeColor="text1"/>
          <w:szCs w:val="32"/>
          <w14:textFill>
            <w14:solidFill>
              <w14:schemeClr w14:val="tx1"/>
            </w14:solidFill>
          </w14:textFill>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w:t>
      </w:r>
      <w:r>
        <w:rPr>
          <w:rFonts w:hint="eastAsia" w:ascii="仿宋_GB2312" w:eastAsia="仿宋_GB2312"/>
          <w:color w:val="000000" w:themeColor="text1"/>
          <w:szCs w:val="32"/>
          <w14:textFill>
            <w14:solidFill>
              <w14:schemeClr w14:val="tx1"/>
            </w14:solidFill>
          </w14:textFill>
        </w:rPr>
        <w:t>博市政务公开工作要点的通知》（淄政办字〔2021〕39号）各项规定，制定了《高青县文化和旅游局2021年政务公开工作实施方案》，并根据要点要求，重点做好公共文化领域信息公开工作，在“高青县人民政府网”门户网站“公共文化体育”下分设更多栏目，分类公开公共文化服务事项。明确科室分工，按时按事向政务公开专职人员提供</w:t>
      </w:r>
    </w:p>
    <w:p>
      <w:pPr>
        <w:spacing w:line="560" w:lineRule="exact"/>
        <w:jc w:val="left"/>
        <w:rPr>
          <w:rFonts w:ascii="楷体_GB2312" w:eastAsia="楷体_GB2312"/>
        </w:rPr>
      </w:pPr>
      <w:r>
        <w:rPr>
          <w:rFonts w:hint="eastAsia" w:ascii="楷体_GB2312" w:eastAsia="楷体_GB2312"/>
        </w:rPr>
        <w:t>（三）人大代表建议和政协委员提案办理结果公开情况</w:t>
      </w:r>
    </w:p>
    <w:p>
      <w:pPr>
        <w:spacing w:line="560" w:lineRule="exact"/>
        <w:ind w:firstLine="640" w:firstLineChars="200"/>
        <w:jc w:val="left"/>
        <w:rPr>
          <w:rFonts w:ascii="仿宋_GB2312" w:eastAsia="仿宋_GB2312"/>
          <w:szCs w:val="32"/>
        </w:rPr>
      </w:pPr>
      <w:r>
        <w:rPr>
          <w:rFonts w:hint="eastAsia" w:ascii="仿宋_GB2312" w:eastAsia="仿宋_GB2312"/>
          <w:szCs w:val="32"/>
        </w:rPr>
        <w:t>2021年，共承办县十七届人大五次会议建议3件，承办县政协十四届五次会议提案14件，均在县政府网站建议提案专题集中公开建议提案人、建议提案原文、建议提案办理结果等信息。</w:t>
      </w:r>
    </w:p>
    <w:p>
      <w:pPr>
        <w:spacing w:line="560" w:lineRule="exact"/>
        <w:jc w:val="left"/>
        <w:rPr>
          <w:rFonts w:ascii="楷体_GB2312" w:eastAsia="楷体_GB2312"/>
        </w:rPr>
      </w:pPr>
      <w:r>
        <w:rPr>
          <w:rFonts w:hint="eastAsia" w:ascii="楷体_GB2312" w:eastAsia="楷体_GB2312"/>
        </w:rPr>
        <w:t>（四）政务公开工作创新情况</w:t>
      </w:r>
    </w:p>
    <w:p>
      <w:pPr>
        <w:spacing w:line="560" w:lineRule="exact"/>
        <w:jc w:val="left"/>
        <w:rPr>
          <w:rFonts w:ascii="仿宋_GB2312" w:eastAsia="仿宋_GB2312"/>
          <w:szCs w:val="32"/>
        </w:rPr>
      </w:pPr>
      <w:r>
        <w:rPr>
          <w:rFonts w:hint="eastAsia" w:ascii="仿宋_GB2312" w:eastAsia="仿宋_GB2312"/>
          <w:szCs w:val="32"/>
        </w:rPr>
        <w:t>充分借助“高青文旅”微信公众号平台，从“群众办事”“政务公开”“政群互动”“文旅服务”等方面提供高质量政务服务。通过发布重要文旅活动、开展志愿服务、文化培训等，为群众提供喜闻乐见的文旅服务、通俗易懂的政策宣讲，便于群众更直观、便捷地了解文旅日常工作，进一步拉近与群众间的距离。多年来我县群众文化满意度位居全市第一、全省前列。</w:t>
      </w:r>
    </w:p>
    <w:p>
      <w:pPr>
        <w:spacing w:line="560" w:lineRule="exact"/>
        <w:jc w:val="left"/>
        <w:rPr>
          <w:rFonts w:ascii="楷体_GB2312" w:eastAsia="楷体_GB2312"/>
        </w:rPr>
      </w:pPr>
      <w:r>
        <w:rPr>
          <w:rFonts w:hint="eastAsia" w:ascii="楷体_GB2312" w:eastAsia="楷体_GB231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spacing w:line="560" w:lineRule="exact"/>
        <w:ind w:firstLine="600" w:firstLineChars="200"/>
        <w:jc w:val="left"/>
        <w:rPr>
          <w:rFonts w:ascii="楷体_GB2312" w:hAnsi="黑体" w:eastAsia="楷体_GB2312"/>
          <w:sz w:val="30"/>
          <w:szCs w:val="30"/>
        </w:rPr>
      </w:pPr>
    </w:p>
    <w:p>
      <w:pPr>
        <w:spacing w:line="560" w:lineRule="exact"/>
        <w:ind w:firstLine="600" w:firstLineChars="200"/>
        <w:rPr>
          <w:rFonts w:ascii="楷体_GB2312" w:hAnsi="黑体" w:eastAsia="楷体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117733"/>
    <w:rsid w:val="00121DCF"/>
    <w:rsid w:val="001D07D8"/>
    <w:rsid w:val="00211942"/>
    <w:rsid w:val="002653E9"/>
    <w:rsid w:val="002E3543"/>
    <w:rsid w:val="003811C0"/>
    <w:rsid w:val="00415AB1"/>
    <w:rsid w:val="004202E5"/>
    <w:rsid w:val="005129FE"/>
    <w:rsid w:val="00591E5D"/>
    <w:rsid w:val="005C5B07"/>
    <w:rsid w:val="00673AC7"/>
    <w:rsid w:val="00704FCD"/>
    <w:rsid w:val="00705215"/>
    <w:rsid w:val="007C4D07"/>
    <w:rsid w:val="007E2721"/>
    <w:rsid w:val="008C4ED2"/>
    <w:rsid w:val="009B028C"/>
    <w:rsid w:val="00BE610A"/>
    <w:rsid w:val="00C67940"/>
    <w:rsid w:val="00CC2BE7"/>
    <w:rsid w:val="00CD1D00"/>
    <w:rsid w:val="00CF7042"/>
    <w:rsid w:val="00EA0721"/>
    <w:rsid w:val="00EF5607"/>
    <w:rsid w:val="00FA216A"/>
    <w:rsid w:val="00FD5381"/>
    <w:rsid w:val="02686D15"/>
    <w:rsid w:val="08BD619F"/>
    <w:rsid w:val="0A62500B"/>
    <w:rsid w:val="0A7B38BA"/>
    <w:rsid w:val="0AC46C8A"/>
    <w:rsid w:val="12493081"/>
    <w:rsid w:val="1284338D"/>
    <w:rsid w:val="12C95DD8"/>
    <w:rsid w:val="12EA351B"/>
    <w:rsid w:val="16AD19E8"/>
    <w:rsid w:val="1B11796B"/>
    <w:rsid w:val="1B332CA1"/>
    <w:rsid w:val="1CA31535"/>
    <w:rsid w:val="1E7A281F"/>
    <w:rsid w:val="22A42B86"/>
    <w:rsid w:val="24076785"/>
    <w:rsid w:val="28D7549C"/>
    <w:rsid w:val="32380FBD"/>
    <w:rsid w:val="3310712F"/>
    <w:rsid w:val="33541CF7"/>
    <w:rsid w:val="33F93F84"/>
    <w:rsid w:val="36D25331"/>
    <w:rsid w:val="3CF214B2"/>
    <w:rsid w:val="3D8574A8"/>
    <w:rsid w:val="3DF44CF0"/>
    <w:rsid w:val="3F5F3251"/>
    <w:rsid w:val="3FC825BE"/>
    <w:rsid w:val="42BC2E2F"/>
    <w:rsid w:val="43DB1093"/>
    <w:rsid w:val="452F78E8"/>
    <w:rsid w:val="47B956CE"/>
    <w:rsid w:val="48081C91"/>
    <w:rsid w:val="48DF636D"/>
    <w:rsid w:val="4C516288"/>
    <w:rsid w:val="4EEC416E"/>
    <w:rsid w:val="505C17AE"/>
    <w:rsid w:val="50ED14DC"/>
    <w:rsid w:val="519F7BA4"/>
    <w:rsid w:val="520707BE"/>
    <w:rsid w:val="56B51C18"/>
    <w:rsid w:val="585D35BC"/>
    <w:rsid w:val="59B41988"/>
    <w:rsid w:val="5BDE39BF"/>
    <w:rsid w:val="5F0E37A5"/>
    <w:rsid w:val="5F7F3935"/>
    <w:rsid w:val="638E6BE3"/>
    <w:rsid w:val="65207F1C"/>
    <w:rsid w:val="675D44DC"/>
    <w:rsid w:val="69F778DA"/>
    <w:rsid w:val="6A411497"/>
    <w:rsid w:val="6BDF41BA"/>
    <w:rsid w:val="6EB2181E"/>
    <w:rsid w:val="6F831224"/>
    <w:rsid w:val="702066DA"/>
    <w:rsid w:val="7911797D"/>
    <w:rsid w:val="7B20264B"/>
    <w:rsid w:val="7FEE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semiHidden/>
    <w:unhideWhenUsed/>
    <w:uiPriority w:val="99"/>
    <w:pPr>
      <w:spacing w:beforeAutospacing="1" w:afterAutospacing="1"/>
      <w:jc w:val="left"/>
    </w:pPr>
    <w:rPr>
      <w:sz w:val="24"/>
    </w:rPr>
  </w:style>
  <w:style w:type="paragraph" w:styleId="7">
    <w:name w:val="annotation subject"/>
    <w:basedOn w:val="2"/>
    <w:next w:val="2"/>
    <w:link w:val="16"/>
    <w:semiHidden/>
    <w:unhideWhenUsed/>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4">
    <w:name w:val="批注框文本 Char"/>
    <w:basedOn w:val="10"/>
    <w:link w:val="3"/>
    <w:semiHidden/>
    <w:uiPriority w:val="99"/>
    <w:rPr>
      <w:rFonts w:eastAsia="方正仿宋_GBK"/>
      <w:snapToGrid w:val="0"/>
      <w:sz w:val="18"/>
      <w:szCs w:val="18"/>
    </w:rPr>
  </w:style>
  <w:style w:type="character" w:customStyle="1" w:styleId="15">
    <w:name w:val="批注文字 Char"/>
    <w:basedOn w:val="10"/>
    <w:link w:val="2"/>
    <w:semiHidden/>
    <w:uiPriority w:val="99"/>
    <w:rPr>
      <w:rFonts w:eastAsia="方正仿宋_GBK"/>
      <w:snapToGrid w:val="0"/>
      <w:sz w:val="32"/>
    </w:rPr>
  </w:style>
  <w:style w:type="character" w:customStyle="1" w:styleId="16">
    <w:name w:val="批注主题 Char"/>
    <w:basedOn w:val="15"/>
    <w:link w:val="7"/>
    <w:semiHidden/>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575</Words>
  <Characters>3282</Characters>
  <Lines>27</Lines>
  <Paragraphs>7</Paragraphs>
  <TotalTime>149</TotalTime>
  <ScaleCrop>false</ScaleCrop>
  <LinksUpToDate>false</LinksUpToDate>
  <CharactersWithSpaces>3850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2022-01-24T01:49:45Z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A3280DFB4521407B9E66D04C86F0E933</vt:lpwstr>
  </property>
</Properties>
</file>