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1F64E">
      <w:pPr>
        <w:autoSpaceDE w:val="0"/>
        <w:autoSpaceDN w:val="0"/>
        <w:snapToGrid w:val="0"/>
        <w:spacing w:line="560" w:lineRule="exact"/>
        <w:ind w:firstLine="0"/>
        <w:jc w:val="center"/>
        <w:rPr>
          <w:rFonts w:hint="eastAsia" w:ascii="Times New Roman" w:hAnsi="Times New Roman" w:eastAsia="方正小标宋简体" w:cs="Times New Roman"/>
          <w:snapToGrid w:val="0"/>
          <w:kern w:val="0"/>
          <w:sz w:val="44"/>
          <w:szCs w:val="44"/>
        </w:rPr>
      </w:pPr>
      <w:bookmarkStart w:id="0" w:name="_GoBack"/>
      <w:bookmarkEnd w:id="0"/>
      <w:r>
        <w:rPr>
          <w:rFonts w:hint="eastAsia" w:ascii="Times New Roman" w:hAnsi="Times New Roman" w:eastAsia="方正小标宋简体" w:cs="Times New Roman"/>
          <w:snapToGrid w:val="0"/>
          <w:kern w:val="0"/>
          <w:sz w:val="44"/>
          <w:szCs w:val="44"/>
        </w:rPr>
        <w:t>高青县卫生健康局</w:t>
      </w:r>
    </w:p>
    <w:p w14:paraId="53F1633E">
      <w:pPr>
        <w:autoSpaceDE w:val="0"/>
        <w:autoSpaceDN w:val="0"/>
        <w:snapToGrid w:val="0"/>
        <w:spacing w:line="560" w:lineRule="exact"/>
        <w:ind w:firstLine="0"/>
        <w:jc w:val="center"/>
        <w:rPr>
          <w:rFonts w:hint="eastAsia" w:ascii="Times New Roman" w:hAnsi="Times New Roman" w:eastAsia="方正小标宋简体" w:cs="Times New Roman"/>
          <w:snapToGrid w:val="0"/>
          <w:kern w:val="0"/>
          <w:sz w:val="44"/>
          <w:szCs w:val="44"/>
        </w:rPr>
      </w:pPr>
      <w:r>
        <w:rPr>
          <w:rFonts w:hint="eastAsia" w:ascii="Times New Roman" w:hAnsi="Times New Roman" w:eastAsia="方正小标宋简体" w:cs="Times New Roman"/>
          <w:snapToGrid w:val="0"/>
          <w:kern w:val="0"/>
          <w:sz w:val="44"/>
          <w:szCs w:val="44"/>
        </w:rPr>
        <w:t>202</w:t>
      </w:r>
      <w:r>
        <w:rPr>
          <w:rFonts w:hint="eastAsia" w:ascii="Times New Roman" w:hAnsi="Times New Roman" w:eastAsia="方正小标宋简体" w:cs="Times New Roman"/>
          <w:snapToGrid w:val="0"/>
          <w:kern w:val="0"/>
          <w:sz w:val="44"/>
          <w:szCs w:val="44"/>
          <w:lang w:val="en-US" w:eastAsia="zh-CN"/>
        </w:rPr>
        <w:t>5</w:t>
      </w:r>
      <w:r>
        <w:rPr>
          <w:rFonts w:hint="eastAsia" w:ascii="Times New Roman" w:hAnsi="Times New Roman" w:eastAsia="方正小标宋简体" w:cs="Times New Roman"/>
          <w:snapToGrid w:val="0"/>
          <w:kern w:val="0"/>
          <w:sz w:val="44"/>
          <w:szCs w:val="44"/>
        </w:rPr>
        <w:t>年政府信息公开工作年度报告</w:t>
      </w:r>
    </w:p>
    <w:p w14:paraId="34EA6899">
      <w:pPr>
        <w:spacing w:line="560" w:lineRule="exact"/>
        <w:ind w:firstLine="880" w:firstLineChars="200"/>
        <w:jc w:val="center"/>
        <w:rPr>
          <w:rFonts w:hint="eastAsia" w:ascii="国标小标宋-GB/T 2312" w:hAnsi="国标小标宋-GB/T 2312" w:eastAsia="国标小标宋-GB/T 2312" w:cs="国标小标宋-GB/T 2312"/>
          <w:sz w:val="44"/>
          <w:szCs w:val="44"/>
        </w:rPr>
      </w:pPr>
    </w:p>
    <w:p w14:paraId="6D1602D5">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为总体情况、主动公开政府信息情况、收到和处理政府信息公开申请情况、政府信息公开行政复议和行政诉讼情况、存在的主要问题及改进情况、其他需要报告的事项六个部分。</w:t>
      </w:r>
    </w:p>
    <w:p w14:paraId="44EF82B4">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报告中所列数据统计期限自2025年1月1日起至2025年12月31日止。报告电子版可在高青县人民政府门户网站（www.gaoqing.gov.cn）查阅和下载。如对报告内容有疑问，请与高青县卫生健康局办公室联系（地址：山东省淄博市高青县清河路9号；邮编：256300；电话：0533-6961556；传真：0533-6961556；邮箱：gqxwjjbgs@zb.shandong.cn）。</w:t>
      </w:r>
    </w:p>
    <w:p w14:paraId="1BFD7834">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一、总体情况</w:t>
      </w:r>
    </w:p>
    <w:p w14:paraId="2701DA7B">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Times New Roman" w:hAnsi="Times New Roman" w:eastAsia="仿宋_GB2312" w:cs="Times New Roman"/>
          <w:snapToGrid w:val="0"/>
          <w:kern w:val="0"/>
          <w:sz w:val="32"/>
          <w:szCs w:val="20"/>
          <w:lang w:val="en-US" w:eastAsia="zh-CN"/>
        </w:rPr>
        <w:t>2025年，高青县卫生健康局坚持以习近平新时代中国特色社会主义思想为指导，认真落实国家及省、市、县政务公开工作部署，紧扣卫生健康核心职能，推动政务公开与业务工作深度融合，促进工作开展，规范业务运行，优化公开服务群众职能。</w:t>
      </w:r>
    </w:p>
    <w:p w14:paraId="3748B9FA">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楷体_GB2312" w:hAnsi="Times New Roman" w:eastAsia="楷体_GB2312" w:cs="Times New Roman"/>
          <w:snapToGrid w:val="0"/>
          <w:kern w:val="0"/>
          <w:sz w:val="32"/>
          <w:szCs w:val="32"/>
          <w:lang w:eastAsia="zh-CN"/>
        </w:rPr>
        <w:t>（</w:t>
      </w:r>
      <w:r>
        <w:rPr>
          <w:rFonts w:hint="eastAsia" w:ascii="楷体_GB2312" w:hAnsi="Times New Roman" w:eastAsia="楷体_GB2312" w:cs="Times New Roman"/>
          <w:snapToGrid w:val="0"/>
          <w:kern w:val="0"/>
          <w:sz w:val="32"/>
          <w:szCs w:val="32"/>
          <w:lang w:val="en-US" w:eastAsia="zh-CN"/>
        </w:rPr>
        <w:t>一</w:t>
      </w:r>
      <w:r>
        <w:rPr>
          <w:rFonts w:hint="eastAsia" w:ascii="楷体_GB2312" w:hAnsi="Times New Roman" w:eastAsia="楷体_GB2312" w:cs="Times New Roman"/>
          <w:snapToGrid w:val="0"/>
          <w:kern w:val="0"/>
          <w:sz w:val="32"/>
          <w:szCs w:val="32"/>
          <w:lang w:eastAsia="zh-CN"/>
        </w:rPr>
        <w:t>）</w:t>
      </w:r>
      <w:r>
        <w:rPr>
          <w:rFonts w:hint="eastAsia" w:ascii="楷体_GB2312" w:hAnsi="Times New Roman" w:eastAsia="楷体_GB2312" w:cs="Times New Roman"/>
          <w:snapToGrid w:val="0"/>
          <w:kern w:val="0"/>
          <w:sz w:val="32"/>
          <w:szCs w:val="32"/>
        </w:rPr>
        <w:t>主动公开</w:t>
      </w:r>
      <w:r>
        <w:rPr>
          <w:rFonts w:hint="eastAsia" w:ascii="Times New Roman" w:hAnsi="Times New Roman" w:eastAsia="仿宋_GB2312" w:cs="Times New Roman"/>
          <w:snapToGrid w:val="0"/>
          <w:kern w:val="0"/>
          <w:sz w:val="32"/>
          <w:szCs w:val="20"/>
          <w:lang w:val="en-US" w:eastAsia="zh-CN"/>
        </w:rPr>
        <w:t xml:space="preserve">  </w:t>
      </w:r>
    </w:p>
    <w:p w14:paraId="3D16DC8D">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Times New Roman" w:hAnsi="Times New Roman" w:eastAsia="仿宋_GB2312" w:cs="Times New Roman"/>
          <w:snapToGrid w:val="0"/>
          <w:kern w:val="0"/>
          <w:sz w:val="32"/>
          <w:szCs w:val="20"/>
          <w:lang w:val="en-US" w:eastAsia="zh-CN"/>
        </w:rPr>
        <w:t>聚焦核心职能，规范公开内容，重点公开“双随机、一公开”监管，医疗领域政策及实施，突发公共卫生事件应对处置、公共卫生服务等关键信息。年内通过政府网站公开发布信息1038条，通过政务新媒体发布信息120条，多渠道拓宽信息传播覆盖面。创新政策解读形式，累计发布政策解读材料5篇，其中图文解读2篇、单位负责人解读1篇、专家解读1篇，让群众读懂卫生健康政策。围绕重点民生工作召开新闻发布会1次，专题发布民生实事项目进展。规范全县14家医疗卫生机构信息公开机制，及时更新医疗机构诊疗服务信息，按季度常态化发布医疗资源信息。开展政府开放日活动1次，广泛征集并反馈群众意见。畅通留言回应渠道，全年回复群众留言15条，有效回应社会关切。</w:t>
      </w:r>
    </w:p>
    <w:p w14:paraId="7BD25293">
      <w:pPr>
        <w:autoSpaceDE w:val="0"/>
        <w:autoSpaceDN w:val="0"/>
        <w:snapToGrid w:val="0"/>
        <w:spacing w:line="240" w:lineRule="auto"/>
        <w:jc w:val="center"/>
        <w:rPr>
          <w:rFonts w:hint="default" w:ascii="Times New Roman" w:hAnsi="Times New Roman" w:eastAsia="仿宋_GB2312" w:cs="Times New Roman"/>
          <w:snapToGrid w:val="0"/>
          <w:kern w:val="0"/>
          <w:sz w:val="32"/>
          <w:szCs w:val="20"/>
          <w:lang w:val="en" w:eastAsia="zh-CN"/>
        </w:rPr>
      </w:pPr>
      <w:r>
        <w:rPr>
          <w:rFonts w:hint="default" w:ascii="Times New Roman" w:hAnsi="Times New Roman" w:eastAsia="仿宋_GB2312" w:cs="Times New Roman"/>
          <w:snapToGrid w:val="0"/>
          <w:kern w:val="0"/>
          <w:sz w:val="32"/>
          <w:szCs w:val="20"/>
          <w:lang w:val="en" w:eastAsia="zh-CN"/>
        </w:rPr>
        <w:pict>
          <v:shape id="_x0000_i1025" o:spt="75" alt="图片1" type="#_x0000_t75" style="height:217.5pt;width:381pt;" filled="f" o:preferrelative="t" stroked="f" coordsize="21600,21600">
            <v:path/>
            <v:fill on="f" focussize="0,0"/>
            <v:stroke on="f"/>
            <v:imagedata r:id="rId5" o:title="图片1"/>
            <o:lock v:ext="edit" aspectratio="t"/>
            <w10:wrap type="none"/>
            <w10:anchorlock/>
          </v:shape>
        </w:pict>
      </w:r>
    </w:p>
    <w:p w14:paraId="7A1658CF">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楷体_GB2312" w:hAnsi="Times New Roman" w:eastAsia="楷体_GB2312" w:cs="Times New Roman"/>
          <w:snapToGrid w:val="0"/>
          <w:kern w:val="0"/>
          <w:sz w:val="32"/>
          <w:szCs w:val="32"/>
        </w:rPr>
        <w:t>（二）依申请公开</w:t>
      </w:r>
      <w:r>
        <w:rPr>
          <w:rFonts w:hint="eastAsia" w:ascii="Times New Roman" w:hAnsi="Times New Roman" w:eastAsia="仿宋_GB2312" w:cs="Times New Roman"/>
          <w:snapToGrid w:val="0"/>
          <w:kern w:val="0"/>
          <w:sz w:val="32"/>
          <w:szCs w:val="20"/>
          <w:lang w:val="en-US" w:eastAsia="zh-CN"/>
        </w:rPr>
        <w:t xml:space="preserve">  </w:t>
      </w:r>
    </w:p>
    <w:p w14:paraId="19A5A3F2">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szCs w:val="20"/>
          <w:lang w:val="en-US" w:eastAsia="zh-CN"/>
        </w:rPr>
        <w:t>围绕依申请公开规范、高效、便民目标，靠完善制度、优化流程、创新服务全面提公开质效，保障群众权益。</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年共收到政府信息公开申请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件，比上年度增加</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件，申请内容主要涉及</w:t>
      </w:r>
      <w:r>
        <w:rPr>
          <w:rFonts w:hint="default" w:ascii="Times New Roman" w:hAnsi="Times New Roman" w:eastAsia="仿宋_GB2312" w:cs="Times New Roman"/>
          <w:snapToGrid w:val="0"/>
          <w:color w:val="auto"/>
          <w:kern w:val="0"/>
          <w:sz w:val="32"/>
          <w:szCs w:val="20"/>
          <w:lang w:val="en-US" w:eastAsia="zh-CN"/>
        </w:rPr>
        <w:t>生态环境领域</w:t>
      </w:r>
      <w:r>
        <w:rPr>
          <w:rFonts w:hint="default" w:ascii="Times New Roman" w:hAnsi="Times New Roman" w:eastAsia="仿宋_GB2312" w:cs="Times New Roman"/>
          <w:sz w:val="32"/>
          <w:szCs w:val="32"/>
        </w:rPr>
        <w:t>领域。作出政府信息公开申请答复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件，无法提供</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件。依申请公开政府信息未收取任何费用。未因政府信息公开被申请行政复议、提起行政诉讼。</w:t>
      </w:r>
    </w:p>
    <w:p w14:paraId="0F051EA7">
      <w:pPr>
        <w:autoSpaceDE w:val="0"/>
        <w:autoSpaceDN w:val="0"/>
        <w:snapToGrid w:val="0"/>
        <w:spacing w:line="560" w:lineRule="exact"/>
        <w:ind w:firstLine="640" w:firstLineChars="200"/>
        <w:rPr>
          <w:rFonts w:hint="eastAsia" w:ascii="Times New Roman" w:hAnsi="Times New Roman" w:eastAsia="仿宋_GB2312" w:cs="Times New Roman"/>
          <w:snapToGrid w:val="0"/>
          <w:color w:val="548DD4" w:themeColor="text2" w:themeTint="99"/>
          <w:kern w:val="0"/>
          <w:sz w:val="32"/>
          <w:szCs w:val="20"/>
          <w:lang w:val="en-US" w:eastAsia="zh-CN"/>
        </w:rPr>
      </w:pPr>
      <w:r>
        <w:rPr>
          <w:rFonts w:hint="eastAsia" w:ascii="楷体_GB2312" w:hAnsi="Times New Roman" w:eastAsia="楷体_GB2312" w:cs="Times New Roman"/>
          <w:snapToGrid w:val="0"/>
          <w:kern w:val="0"/>
          <w:sz w:val="32"/>
          <w:szCs w:val="32"/>
        </w:rPr>
        <w:t>（三）政府信息管理</w:t>
      </w:r>
      <w:r>
        <w:rPr>
          <w:rFonts w:hint="eastAsia" w:ascii="Times New Roman" w:hAnsi="Times New Roman" w:eastAsia="仿宋_GB2312" w:cs="Times New Roman"/>
          <w:snapToGrid w:val="0"/>
          <w:kern w:val="0"/>
          <w:sz w:val="32"/>
          <w:szCs w:val="20"/>
          <w:lang w:val="en-US" w:eastAsia="zh-CN"/>
        </w:rPr>
        <w:t xml:space="preserve"> </w:t>
      </w:r>
      <w:r>
        <w:rPr>
          <w:rFonts w:hint="eastAsia" w:ascii="Times New Roman" w:hAnsi="Times New Roman" w:eastAsia="仿宋_GB2312" w:cs="Times New Roman"/>
          <w:snapToGrid w:val="0"/>
          <w:color w:val="548DD4" w:themeColor="text2" w:themeTint="99"/>
          <w:kern w:val="0"/>
          <w:sz w:val="32"/>
          <w:szCs w:val="20"/>
          <w:lang w:val="en-US" w:eastAsia="zh-CN"/>
        </w:rPr>
        <w:t xml:space="preserve"> </w:t>
      </w:r>
    </w:p>
    <w:p w14:paraId="3B77102B">
      <w:pPr>
        <w:autoSpaceDE w:val="0"/>
        <w:autoSpaceDN w:val="0"/>
        <w:snapToGrid w:val="0"/>
        <w:spacing w:line="560" w:lineRule="exact"/>
        <w:ind w:firstLine="640" w:firstLineChars="200"/>
        <w:rPr>
          <w:rFonts w:hint="eastAsia" w:ascii="Times New Roman" w:hAnsi="Times New Roman" w:eastAsia="仿宋_GB2312" w:cs="Times New Roman"/>
          <w:snapToGrid w:val="0"/>
          <w:color w:val="auto"/>
          <w:kern w:val="0"/>
          <w:sz w:val="32"/>
          <w:szCs w:val="20"/>
          <w:lang w:val="en-US" w:eastAsia="zh-CN"/>
        </w:rPr>
      </w:pPr>
      <w:r>
        <w:rPr>
          <w:rFonts w:hint="eastAsia" w:ascii="Times New Roman" w:hAnsi="Times New Roman" w:eastAsia="仿宋_GB2312" w:cs="Times New Roman"/>
          <w:snapToGrid w:val="0"/>
          <w:color w:val="auto"/>
          <w:kern w:val="0"/>
          <w:sz w:val="32"/>
          <w:szCs w:val="20"/>
          <w:lang w:val="en-US" w:eastAsia="zh-CN"/>
        </w:rPr>
        <w:t>结合卫生健康系统核心职能，完善主动公开基本目录，明确公开事项与时限，及时发布相关政策与检查信息，对于到期信息及时更新清理。建立信息发布前置审核机制，保障信息时效与实用性。坚守“公开不涉密、涉密不公开”原则，构建三级审查体系，筑牢保密安全防线。</w:t>
      </w:r>
    </w:p>
    <w:p w14:paraId="2FE027BD">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楷体_GB2312" w:hAnsi="Times New Roman" w:eastAsia="楷体_GB2312" w:cs="Times New Roman"/>
          <w:snapToGrid w:val="0"/>
          <w:kern w:val="0"/>
          <w:sz w:val="32"/>
          <w:szCs w:val="32"/>
        </w:rPr>
        <w:t>（四）政府信息公开平台建设</w:t>
      </w:r>
      <w:r>
        <w:rPr>
          <w:rFonts w:hint="eastAsia" w:ascii="Times New Roman" w:hAnsi="Times New Roman" w:eastAsia="仿宋_GB2312" w:cs="Times New Roman"/>
          <w:snapToGrid w:val="0"/>
          <w:kern w:val="0"/>
          <w:sz w:val="32"/>
          <w:szCs w:val="20"/>
          <w:lang w:val="en-US" w:eastAsia="zh-CN"/>
        </w:rPr>
        <w:t xml:space="preserve">  </w:t>
      </w:r>
    </w:p>
    <w:p w14:paraId="683EDC35">
      <w:pPr>
        <w:autoSpaceDE w:val="0"/>
        <w:autoSpaceDN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结合卫生健康工作实际，整合完善公开栏目，规范信息公开内容。聚焦群众关切的重点工作，精准推送权威信息</w:t>
      </w:r>
      <w:r>
        <w:rPr>
          <w:rFonts w:hint="default" w:ascii="仿宋_GB2312" w:eastAsia="仿宋_GB2312"/>
          <w:sz w:val="32"/>
          <w:szCs w:val="32"/>
          <w:lang w:val="en" w:eastAsia="zh-CN"/>
        </w:rPr>
        <w:t>,</w:t>
      </w:r>
      <w:r>
        <w:rPr>
          <w:rFonts w:hint="eastAsia" w:ascii="仿宋_GB2312" w:eastAsia="仿宋_GB2312"/>
          <w:sz w:val="32"/>
          <w:szCs w:val="32"/>
          <w:lang w:val="en-US" w:eastAsia="zh-CN"/>
        </w:rPr>
        <w:t>同步及时公开常规内容，推动公开的信息服务群众。加强“最高青”客户端运维管理，提升平台信息发布效率与传播实效。</w:t>
      </w:r>
    </w:p>
    <w:p w14:paraId="2435DE5F">
      <w:pPr>
        <w:autoSpaceDE w:val="0"/>
        <w:autoSpaceDN w:val="0"/>
        <w:snapToGrid w:val="0"/>
        <w:spacing w:line="560" w:lineRule="exact"/>
        <w:ind w:firstLine="640" w:firstLineChars="200"/>
        <w:rPr>
          <w:rFonts w:hint="eastAsia" w:ascii="Times New Roman" w:hAnsi="Times New Roman" w:eastAsia="仿宋_GB2312" w:cs="Times New Roman"/>
          <w:snapToGrid w:val="0"/>
          <w:color w:val="548DD4" w:themeColor="text2" w:themeTint="99"/>
          <w:kern w:val="0"/>
          <w:sz w:val="32"/>
          <w:szCs w:val="20"/>
          <w:lang w:val="en-US" w:eastAsia="zh-CN"/>
        </w:rPr>
      </w:pPr>
      <w:r>
        <w:rPr>
          <w:rFonts w:hint="eastAsia" w:ascii="楷体_GB2312" w:hAnsi="Times New Roman" w:eastAsia="楷体_GB2312" w:cs="Times New Roman"/>
          <w:snapToGrid w:val="0"/>
          <w:kern w:val="0"/>
          <w:sz w:val="32"/>
          <w:szCs w:val="32"/>
        </w:rPr>
        <w:t>（五）监督保障</w:t>
      </w:r>
      <w:r>
        <w:rPr>
          <w:rFonts w:hint="eastAsia" w:ascii="Times New Roman" w:hAnsi="Times New Roman" w:eastAsia="仿宋_GB2312" w:cs="Times New Roman"/>
          <w:snapToGrid w:val="0"/>
          <w:kern w:val="0"/>
          <w:sz w:val="32"/>
          <w:szCs w:val="20"/>
          <w:lang w:val="en-US" w:eastAsia="zh-CN"/>
        </w:rPr>
        <w:t xml:space="preserve"> </w:t>
      </w:r>
      <w:r>
        <w:rPr>
          <w:rFonts w:hint="eastAsia" w:ascii="Times New Roman" w:hAnsi="Times New Roman" w:eastAsia="仿宋_GB2312" w:cs="Times New Roman"/>
          <w:snapToGrid w:val="0"/>
          <w:color w:val="548DD4" w:themeColor="text2" w:themeTint="99"/>
          <w:kern w:val="0"/>
          <w:sz w:val="32"/>
          <w:szCs w:val="20"/>
          <w:lang w:val="en-US" w:eastAsia="zh-CN"/>
        </w:rPr>
        <w:t xml:space="preserve"> </w:t>
      </w:r>
    </w:p>
    <w:p w14:paraId="7F06ACA4">
      <w:pPr>
        <w:autoSpaceDE w:val="0"/>
        <w:autoSpaceDN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eastAsia="仿宋_GB2312"/>
          <w:sz w:val="32"/>
          <w:szCs w:val="32"/>
          <w:lang w:val="en-US" w:eastAsia="zh-CN"/>
        </w:rPr>
        <w:t>召开政务公开统筹推进专题会议，主要负责人听取工作汇报，分管负责人常态化开展督导。明确局宣传科为牵头负责科室，配备专职工作人员1名，保障工作高效运转。</w:t>
      </w:r>
      <w:r>
        <w:rPr>
          <w:rFonts w:hint="default" w:ascii="Times New Roman" w:hAnsi="Times New Roman" w:eastAsia="仿宋_GB2312" w:cs="Times New Roman"/>
          <w:sz w:val="32"/>
          <w:szCs w:val="32"/>
          <w:lang w:val="en-US" w:eastAsia="zh-CN"/>
        </w:rPr>
        <w:t>制定年度政务公开培训计划，全年开展1次专题培训，围绕卫生健康领域信息公开要点开展授课，实现相关人员培训全覆盖，切实提升业务能力水平。</w:t>
      </w:r>
    </w:p>
    <w:p w14:paraId="1FB39105">
      <w:pPr>
        <w:autoSpaceDE w:val="0"/>
        <w:autoSpaceDN w:val="0"/>
        <w:snapToGrid w:val="0"/>
        <w:spacing w:line="560" w:lineRule="exact"/>
        <w:ind w:firstLine="640" w:firstLineChars="200"/>
        <w:rPr>
          <w:rFonts w:hint="default" w:ascii="Times New Roman" w:hAnsi="Times New Roman" w:eastAsia="黑体" w:cs="Times New Roman"/>
          <w:snapToGrid w:val="0"/>
          <w:kern w:val="0"/>
          <w:sz w:val="32"/>
          <w:szCs w:val="32"/>
        </w:rPr>
      </w:pPr>
    </w:p>
    <w:p w14:paraId="0FCAE707">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p>
    <w:p w14:paraId="5800FD5D">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p>
    <w:p w14:paraId="2AD4BFFB">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p>
    <w:p w14:paraId="2B5EF6DE">
      <w:pPr>
        <w:autoSpaceDE w:val="0"/>
        <w:autoSpaceDN w:val="0"/>
        <w:snapToGrid w:val="0"/>
        <w:spacing w:line="560" w:lineRule="exact"/>
        <w:ind w:firstLine="640" w:firstLineChars="200"/>
        <w:rPr>
          <w:rFonts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二、主动公开政府信息情况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14:paraId="2B77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9674A2A">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58BE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2548D40">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1CDF854C">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6E24DE40">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5F7D6F5D">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4B68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6BCDF6A">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58AF505F">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718E24DB">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B637A45">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5B8C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2C095F3">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328C299B">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01B2903">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67CBC7CC">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579D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04AA252">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33AE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0BC8136">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64971E4A">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3D4F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0B1E6F3">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67B7BC43">
            <w:pPr>
              <w:spacing w:line="240" w:lineRule="auto"/>
              <w:ind w:firstLine="0"/>
              <w:rPr>
                <w:rFonts w:hint="default" w:ascii="黑体" w:hAnsi="黑体" w:eastAsia="黑体"/>
                <w:sz w:val="20"/>
                <w:lang w:val="en-US" w:eastAsia="zh-CN"/>
              </w:rPr>
            </w:pPr>
            <w:r>
              <w:rPr>
                <w:rFonts w:hint="eastAsia" w:ascii="黑体" w:hAnsi="黑体" w:eastAsia="黑体"/>
                <w:sz w:val="20"/>
                <w:lang w:val="en-US" w:eastAsia="zh-CN"/>
              </w:rPr>
              <w:t>0</w:t>
            </w:r>
          </w:p>
        </w:tc>
      </w:tr>
      <w:tr w14:paraId="6F78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9DF177C">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5523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DBFE5B1">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278F078">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1DD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F3FDCA1">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1D1CB095">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6</w:t>
            </w:r>
          </w:p>
        </w:tc>
      </w:tr>
      <w:tr w14:paraId="045B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EE8D4D4">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7652E6C3">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5E11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7D85BF2">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0EA9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43698DB">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2B10C188">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195F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11CFC80">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23CA4B9B">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bl>
    <w:p w14:paraId="4ED3DC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14:paraId="086421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14:paraId="5F2F9A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14:paraId="381E3A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14:paraId="344107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14:paraId="5D5E0E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p>
    <w:p w14:paraId="690EF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69B74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5896B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0DD394C6">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三、收到和处理政府信息公开申请情况</w:t>
      </w:r>
    </w:p>
    <w:tbl>
      <w:tblPr>
        <w:tblStyle w:val="9"/>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B0827A4">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3CA00930">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A914C6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024235B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34F298A5">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6CE0483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233D9C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258EB07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2C79D8A8">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3FD5B37">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3D636D3B">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7871E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4286E8E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0432A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3C8767D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9113ED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CED79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6C7859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23C7BACE">
            <w:pPr>
              <w:widowControl/>
              <w:autoSpaceDE/>
              <w:autoSpaceDN/>
              <w:snapToGrid/>
              <w:spacing w:line="240" w:lineRule="auto"/>
              <w:ind w:firstLine="0"/>
              <w:jc w:val="left"/>
              <w:rPr>
                <w:rFonts w:ascii="宋体" w:hAnsi="宋体" w:eastAsia="宋体" w:cs="宋体"/>
                <w:snapToGrid/>
                <w:sz w:val="24"/>
                <w:szCs w:val="24"/>
              </w:rPr>
            </w:pPr>
          </w:p>
        </w:tc>
      </w:tr>
      <w:tr w14:paraId="6B70FA95">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9557BF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92A620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3</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3B883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72CF3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E97049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3C833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B3661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C9F172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3</w:t>
            </w:r>
          </w:p>
        </w:tc>
      </w:tr>
      <w:tr w14:paraId="5EAB607D">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6C20BF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F7C78A">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5F705A2">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56F8564">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94BD49C">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F6ACB6C">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3F15EA">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BD215F">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p>
        </w:tc>
      </w:tr>
      <w:tr w14:paraId="37880F55">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2D791A7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619CFF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1D324F">
            <w:pPr>
              <w:widowControl/>
              <w:autoSpaceDE/>
              <w:autoSpaceDN/>
              <w:snapToGrid/>
              <w:spacing w:line="240" w:lineRule="auto"/>
              <w:ind w:firstLine="0" w:firstLineChars="0"/>
              <w:jc w:val="center"/>
              <w:rPr>
                <w:rFonts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78F7CB">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57CD22">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1B7DD9">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603E93">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E57649F">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1EDC809F">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p>
        </w:tc>
      </w:tr>
      <w:tr w14:paraId="0CC77A9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F403323">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60A758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6E0D1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ED606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7F07A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711B6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1E4713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A7794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668450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r>
      <w:tr w14:paraId="213F831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4C6ADA">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C813A5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FDE4D5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CA4670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BEFCC1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BCEA14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05B715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970A1F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71A95EE">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756B8BCA">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53B44A4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391AF0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3D7376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4A5783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17AC4F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D61F4F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0C4248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D71E4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6202F3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0D3EA7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2427B08">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844369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9A202A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90D01A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3B8EB3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327771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8C9FC9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CC8E10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91C894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11931F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B5510E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D082C9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541FD02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55CFC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7A597D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AF94A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76354B0E">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9C1713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57D675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5A3AF9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573A1DC">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AAFA3CD">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DBB9606">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6E52D42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9FB743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963F7C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396CD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981F5D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89F926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083709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0A9FA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48295F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5FC2B2D">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0444FA4">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3892A4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AD73B5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64FDA2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10160D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9E9311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342CE6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E83AFD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B85A99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9B4FC4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D837626">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10589C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1A7238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E6BBD6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F9C445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C2070E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0D5DD3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322685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35D4BB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1F7E9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BEB631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3045DF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0024FC40">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21FFDF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F87EAA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1EE95A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E67C8A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EBE0E0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27123B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706E2A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601FFF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2B3939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A48CF0A">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27BD037">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64F7FD7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DCAC8F">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D2A131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A4568E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BFB7E0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EA5594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CF6594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826A4C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2DEDE5A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6A60D6C">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2931841">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cs="Calibri"/>
                <w:snapToGrid/>
                <w:sz w:val="20"/>
                <w:lang w:val="en-US" w:eastAsia="zh-CN"/>
              </w:rPr>
              <w:t>3</w:t>
            </w:r>
          </w:p>
        </w:tc>
      </w:tr>
      <w:tr w14:paraId="3898C53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D5C2F1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EB3141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0B547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29958C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4DE1DA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158372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F4942B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DF0126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9A9E55F">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07E48B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16832A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8605A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FF16C1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B2B1B2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D4BB43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728289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806ADB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4124B3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5E5CC5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B64CF7F">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8095B73">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8B4B67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DB9615">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4A4B0A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8ECB0B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852C59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FA63DD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96B32C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7DF7FA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B52EB7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EB82211">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D9C4F4E">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27A1FBE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D824B4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52B01F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C0A503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80D99F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EDDC9C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4628B5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BE9E01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A09E45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7449FA6">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E0EC511">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68F9AB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837B43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68D491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99EF5A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C7CC56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8AC05D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7998B5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7EBAE4C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1B4D738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E1508F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0E4E6E8">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385307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3EBC9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805326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036861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F9EFCA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18FA24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D08095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7A51BBB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5596D8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83331BB">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149BB53">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1B9866D0">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243B07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B73AF0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69117A43">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14:paraId="21154C0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67E2B3A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001BB85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14:paraId="015E080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14:paraId="2A5A0BA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347FAFB4">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14:paraId="3D66D897">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7CC785A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46416C6">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1F2F21E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2AB692F">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31C70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9B194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711B6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58D6F8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327AD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6A990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7ABE10A">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2032208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09A7F2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19EEA4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2C09402">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8B80C2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D7401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91296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7C1BD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21A9EE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EB41C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CAF025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1157931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F230D3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621214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6AA4AA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E42B17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6D72F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49AC5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193E1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6CC708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13AF0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405A18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r>
      <w:tr w14:paraId="7128826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746C9EE">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082549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FE76D6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84AF6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7F572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8AF2AD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B10ECF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C304D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E02E58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3</w:t>
            </w:r>
          </w:p>
        </w:tc>
      </w:tr>
      <w:tr w14:paraId="7B3869BE">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D0F1B5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D177F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A6D2F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F5B42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B50E1B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01AD7C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33BB4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7D3E71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r>
    </w:tbl>
    <w:p w14:paraId="44EE3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1E2C0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03FD6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6BED5449">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四、政府信息公开行政复议、行政诉讼情况</w:t>
      </w:r>
    </w:p>
    <w:tbl>
      <w:tblPr>
        <w:tblStyle w:val="9"/>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77D06F7">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91AEB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E8648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5353F5AF">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5528D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45415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03916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5F23B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63F69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EDAC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F2C11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0DE98A0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E25367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44EE9CD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5CD79F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0A3DA3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5F40EF9">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01D88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A0AA8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25305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797BF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235D1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7FC88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E29EE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0D04B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07E4B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7AEF6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41E39942">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B8123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2AF8C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C80F6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4FE793">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8E6234">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555D1C">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D0B52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343A64">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F6EB6C">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6A9775">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69BFD1">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B8B240">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F6D2BA">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E3862E">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285259">
            <w:pPr>
              <w:widowControl/>
              <w:autoSpaceDE/>
              <w:autoSpaceDN/>
              <w:snapToGrid/>
              <w:spacing w:line="240" w:lineRule="auto"/>
              <w:ind w:firstLine="0"/>
              <w:jc w:val="left"/>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r>
    </w:tbl>
    <w:p w14:paraId="4A5271DC">
      <w:pPr>
        <w:spacing w:line="240" w:lineRule="auto"/>
        <w:ind w:firstLine="420" w:firstLineChars="200"/>
        <w:rPr>
          <w:rFonts w:ascii="黑体" w:hAnsi="黑体" w:eastAsia="黑体"/>
          <w:szCs w:val="32"/>
        </w:rPr>
      </w:pPr>
    </w:p>
    <w:p w14:paraId="6ECDEA98">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五、存在的主要问题及改进情况</w:t>
      </w:r>
    </w:p>
    <w:p w14:paraId="0AA40FCC">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楷体_GB2312" w:hAnsi="Times New Roman" w:eastAsia="楷体_GB2312" w:cs="Times New Roman"/>
          <w:snapToGrid w:val="0"/>
          <w:kern w:val="0"/>
          <w:sz w:val="32"/>
          <w:szCs w:val="32"/>
        </w:rPr>
        <w:t>（一）存在问题</w:t>
      </w:r>
      <w:r>
        <w:rPr>
          <w:rFonts w:hint="eastAsia" w:ascii="楷体_GB2312" w:hAnsi="Times New Roman" w:eastAsia="楷体_GB2312" w:cs="Times New Roman"/>
          <w:snapToGrid w:val="0"/>
          <w:kern w:val="0"/>
          <w:sz w:val="32"/>
          <w:szCs w:val="32"/>
          <w:lang w:val="en-US" w:eastAsia="zh-CN"/>
        </w:rPr>
        <w:t xml:space="preserve"> </w:t>
      </w:r>
      <w:r>
        <w:rPr>
          <w:rFonts w:hint="eastAsia" w:ascii="Times New Roman" w:hAnsi="Times New Roman" w:eastAsia="仿宋_GB2312" w:cs="Times New Roman"/>
          <w:snapToGrid w:val="0"/>
          <w:kern w:val="0"/>
          <w:sz w:val="32"/>
          <w:szCs w:val="20"/>
          <w:lang w:val="en-US" w:eastAsia="zh-CN"/>
        </w:rPr>
        <w:t xml:space="preserve"> </w:t>
      </w:r>
    </w:p>
    <w:p w14:paraId="4FA7EDC6">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一是公开内容精准度有待提升，部分领域信息公开深度不足，针对基层医疗、中医药服务等特色工作的专题公开内容不够详实。二是公开形式创新性不足，以文字类公开为主，图解、视频等可视化解读形式较少，群众接受度有待提高。</w:t>
      </w:r>
    </w:p>
    <w:p w14:paraId="39F04365">
      <w:pPr>
        <w:autoSpaceDE w:val="0"/>
        <w:autoSpaceDN w:val="0"/>
        <w:snapToGrid w:val="0"/>
        <w:spacing w:line="560" w:lineRule="exact"/>
        <w:ind w:firstLine="640" w:firstLineChars="200"/>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（二）改进情况</w:t>
      </w:r>
    </w:p>
    <w:p w14:paraId="72243A0B">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一是聚焦精准公开，深化公开内容。紧扣卫生健康核心职能和群众关切，进一步细化公开目录，重点加大基层医疗服务提升、中医药传承发展、重大疾病防控、民生健康实事等领域的信息公开力度，增设专题公开板块，确保公开内容更贴合群众需求、更彰显行业特色。</w:t>
      </w:r>
    </w:p>
    <w:p w14:paraId="2182E782">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二是创新公开形式，提升传播实效。丰富公开载体，在文字公开基础上，增加政策图解、短视频、音频等可视化、通俗化解读形式，依托新闻媒体、网络宣传平台及政务新媒体推送，让政务信息更易读、易懂；优化县政府门户网站卫健板块栏目设置，提升信息检索便捷度。</w:t>
      </w:r>
    </w:p>
    <w:p w14:paraId="64CAE778">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六、其他需要报告的事项</w:t>
      </w:r>
    </w:p>
    <w:p w14:paraId="114F4405">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楷体_GB2312" w:hAnsi="Times New Roman" w:eastAsia="楷体_GB2312" w:cs="Times New Roman"/>
          <w:snapToGrid w:val="0"/>
          <w:kern w:val="0"/>
          <w:sz w:val="32"/>
          <w:szCs w:val="32"/>
        </w:rPr>
        <w:t>（一）政府信息公开信息处理费收取情况</w:t>
      </w:r>
      <w:r>
        <w:rPr>
          <w:rFonts w:hint="eastAsia" w:ascii="Times New Roman" w:hAnsi="Times New Roman" w:eastAsia="仿宋_GB2312" w:cs="Times New Roman"/>
          <w:snapToGrid w:val="0"/>
          <w:kern w:val="0"/>
          <w:sz w:val="32"/>
          <w:szCs w:val="20"/>
          <w:lang w:val="en-US" w:eastAsia="zh-CN"/>
        </w:rPr>
        <w:t xml:space="preserve">  本机关依申请提供政府信息，严格遵照《国务院办公厅关于印发&lt;政府信息公开信息处理费管理办法&gt;的通知》（国办函〔2020〕109号）和《山东省人民政府办公厅关于做好政府信息公开信息处理费管理工作有关事项的通知》（鲁政办字〔2020〕179号）规定执行。2025年，本机关依申请公开政府信息未收取任何费用。</w:t>
      </w:r>
    </w:p>
    <w:p w14:paraId="3CB04FE6">
      <w:pPr>
        <w:autoSpaceDE w:val="0"/>
        <w:autoSpaceDN w:val="0"/>
        <w:snapToGrid w:val="0"/>
        <w:spacing w:line="560" w:lineRule="exact"/>
        <w:ind w:firstLine="640" w:firstLineChars="200"/>
        <w:rPr>
          <w:rFonts w:hint="eastAsia" w:ascii="Times New Roman" w:hAnsi="Times New Roman" w:eastAsia="仿宋_GB2312" w:cs="Times New Roman"/>
          <w:snapToGrid w:val="0"/>
          <w:color w:val="0000FF"/>
          <w:kern w:val="0"/>
          <w:sz w:val="32"/>
          <w:szCs w:val="20"/>
        </w:rPr>
      </w:pPr>
      <w:r>
        <w:rPr>
          <w:rFonts w:hint="eastAsia" w:ascii="楷体_GB2312" w:hAnsi="Times New Roman" w:eastAsia="楷体_GB2312" w:cs="Times New Roman"/>
          <w:snapToGrid w:val="0"/>
          <w:kern w:val="0"/>
          <w:sz w:val="32"/>
          <w:szCs w:val="32"/>
        </w:rPr>
        <w:t>（二）落实上级年度政务公开工作要点情况</w:t>
      </w:r>
      <w:r>
        <w:rPr>
          <w:rFonts w:hint="eastAsia" w:ascii="Times New Roman" w:hAnsi="Times New Roman" w:eastAsia="仿宋_GB2312" w:cs="Times New Roman"/>
          <w:snapToGrid w:val="0"/>
          <w:color w:val="auto"/>
          <w:kern w:val="0"/>
          <w:sz w:val="32"/>
          <w:szCs w:val="20"/>
          <w:lang w:val="en-US" w:eastAsia="zh-CN"/>
        </w:rPr>
        <w:t xml:space="preserve">  严格落实国家和省、市、县政务公开工作要点，根据《高青县人民政府办公室关于印发2025年高青县政务公开工作方案的通知》要求，制定《高青县卫生健康局政务公开工作方案》，明确重点任务、工作标准和完成时限，推动各项工作落地见效。</w:t>
      </w:r>
    </w:p>
    <w:p w14:paraId="7022E5A1">
      <w:pPr>
        <w:autoSpaceDE w:val="0"/>
        <w:autoSpaceDN w:val="0"/>
        <w:snapToGrid w:val="0"/>
        <w:spacing w:line="560" w:lineRule="exact"/>
        <w:rPr>
          <w:rFonts w:hint="eastAsia" w:ascii="Times New Roman" w:hAnsi="Times New Roman" w:eastAsia="仿宋_GB2312" w:cs="Times New Roman"/>
          <w:snapToGrid w:val="0"/>
          <w:kern w:val="0"/>
          <w:sz w:val="32"/>
          <w:szCs w:val="20"/>
          <w:lang w:val="en-US" w:eastAsia="zh-CN"/>
        </w:rPr>
      </w:pPr>
      <w:r>
        <w:rPr>
          <w:rFonts w:hint="eastAsia" w:ascii="Times New Roman" w:hAnsi="Times New Roman" w:eastAsia="仿宋_GB2312" w:cs="Times New Roman"/>
          <w:snapToGrid w:val="0"/>
          <w:kern w:val="0"/>
          <w:sz w:val="32"/>
          <w:szCs w:val="20"/>
          <w:lang w:val="en-US" w:eastAsia="zh-CN"/>
        </w:rPr>
        <w:t>一是聚焦医疗卫生服务核心领域，筑牢惠民根基。紧扣群众就医关注，主动公开县域公立医疗机构关键信息，同步公示优质医疗资源下沉、分级诊疗推进情况，全年公开相关信息120余条。针对就医流程、慢性病管理等热点问题，发布解读材料40余篇，公示医疗机构校验、医护资质、纠纷处理途径等内容，相关咨询满意度达98%以上。二是紧盯健康保障重点工作，提升公开实效。公开疾病预防控制、疫苗接种、妇幼及老年健康服务举措与成效，及时发布季节性传染病防控预警和指南。公开中医药服务、适宜技术推广、名老中医坐诊等信息，同步公示基层卫生室提质改造、医疗设备更新等重点项目建设进度，确保民生项目全程透明。三是抓实政策落地与执法监管，强化监督效能。公开医疗保障、育儿补贴等政策及解读，让群众易懂能用。严格落实执法公示制度，公开执法权限、监督检查、违法查处、卫生许可等信息80余条。全面公开行政审批事项清单、流程与结果，压缩办理时限，以公开促规范。</w:t>
      </w:r>
    </w:p>
    <w:p w14:paraId="1C648BEB">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楷体_GB2312" w:hAnsi="Times New Roman" w:eastAsia="楷体_GB2312" w:cs="Times New Roman"/>
          <w:snapToGrid w:val="0"/>
          <w:kern w:val="0"/>
          <w:sz w:val="32"/>
          <w:szCs w:val="32"/>
        </w:rPr>
        <w:t>（三）人大代表建议和政协委员提案办理结果公开情况</w:t>
      </w:r>
    </w:p>
    <w:p w14:paraId="4265F8D5">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2025年共承办县十八届人大四次会议建议4件、县政协十五届四次会议提案8件，办复率均为100%。除涉及国家秘密、工作秘密的事项外，所有建议提案办理复文或摘要及办理总体情况均在县政府门户网站建议提案办理专题中予以公开。</w:t>
      </w:r>
    </w:p>
    <w:p w14:paraId="6011F158">
      <w:pPr>
        <w:autoSpaceDE w:val="0"/>
        <w:autoSpaceDN w:val="0"/>
        <w:snapToGrid w:val="0"/>
        <w:spacing w:line="560" w:lineRule="exact"/>
        <w:ind w:firstLine="640" w:firstLineChars="200"/>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（四）政务公开工作创新情况</w:t>
      </w:r>
    </w:p>
    <w:p w14:paraId="4FE107D7">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搭建“线上线下”融合公开模式，线上依托官网政务公开专栏，开设“健康科普”等特色板块；线下在政务服务大厅、医院门诊大厅设置公开查阅专区，配备专职导办员，整合政策手册、流程示意图等资料，提供“一对一”咨询指导。联动融媒体中心、基层医疗机构形成发布合力，打通政务公开“最后一公里”，确保信息覆盖无死角。</w:t>
      </w:r>
    </w:p>
    <w:p w14:paraId="6A5141A6">
      <w:pPr>
        <w:autoSpaceDE w:val="0"/>
        <w:autoSpaceDN w:val="0"/>
        <w:snapToGrid w:val="0"/>
        <w:spacing w:line="560" w:lineRule="exact"/>
        <w:ind w:firstLine="640" w:firstLineChars="200"/>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（五）有关数据统计说明</w:t>
      </w:r>
    </w:p>
    <w:p w14:paraId="16B2B29C">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rPr>
        <w:t>1.报告中所列数据可能因四舍五入原因与数据直接相加之和存在尾数差异。</w:t>
      </w:r>
    </w:p>
    <w:p w14:paraId="6F1B17E7">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rPr>
        <w:t>2.行政许可数量、行政处罚和行政强制数量，包括已公开和依法未公开的全部处理决定。</w:t>
      </w:r>
    </w:p>
    <w:p w14:paraId="17722709">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eastAsia="zh-CN"/>
        </w:rPr>
      </w:pPr>
      <w:r>
        <w:rPr>
          <w:rFonts w:hint="eastAsia" w:ascii="Times New Roman" w:hAnsi="Times New Roman" w:eastAsia="仿宋_GB2312" w:cs="Times New Roman"/>
          <w:snapToGrid w:val="0"/>
          <w:kern w:val="0"/>
          <w:sz w:val="32"/>
          <w:szCs w:val="20"/>
        </w:rPr>
        <w:t>3.行政复议机关作为共同被告的行政诉讼案件，只计算原行为主体的案件数量，不计算行政复议机关的案件数量</w:t>
      </w:r>
      <w:r>
        <w:rPr>
          <w:rFonts w:hint="eastAsia" w:ascii="Times New Roman" w:hAnsi="Times New Roman" w:eastAsia="仿宋_GB2312" w:cs="Times New Roman"/>
          <w:snapToGrid w:val="0"/>
          <w:kern w:val="0"/>
          <w:sz w:val="32"/>
          <w:szCs w:val="20"/>
          <w:lang w:eastAsia="zh-CN"/>
        </w:rPr>
        <w:t>。</w:t>
      </w:r>
    </w:p>
    <w:p w14:paraId="2CACFBD6">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国标小标宋-GB/T 2312">
    <w:altName w:val="宋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F29">
    <w:pPr>
      <w:pStyle w:val="6"/>
    </w:pPr>
    <w:r>
      <w:rPr>
        <w:sz w:val="18"/>
      </w:rPr>
      <w:pict>
        <v:shape id="_x0000_s4097" o:spid="_x0000_s4097" o:spt="202" type="#_x0000_t202" style="position:absolute;left:0pt;margin-left:191.6pt;margin-top:1.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9D3F43B">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CF4FDB95"/>
    <w:rsid w:val="06E148DB"/>
    <w:rsid w:val="0CA83853"/>
    <w:rsid w:val="10AB4F81"/>
    <w:rsid w:val="13F914C3"/>
    <w:rsid w:val="15057266"/>
    <w:rsid w:val="15194124"/>
    <w:rsid w:val="185648ED"/>
    <w:rsid w:val="1EB27A60"/>
    <w:rsid w:val="260C6D09"/>
    <w:rsid w:val="274115BD"/>
    <w:rsid w:val="2D0B70E4"/>
    <w:rsid w:val="35FFF924"/>
    <w:rsid w:val="3EEF088A"/>
    <w:rsid w:val="4B4B6C02"/>
    <w:rsid w:val="55F34BB3"/>
    <w:rsid w:val="67DCA557"/>
    <w:rsid w:val="6DF3549E"/>
    <w:rsid w:val="709720CF"/>
    <w:rsid w:val="72F42110"/>
    <w:rsid w:val="76AF6CB8"/>
    <w:rsid w:val="AF0504B5"/>
    <w:rsid w:val="BAF721DE"/>
    <w:rsid w:val="CF4FDB95"/>
    <w:rsid w:val="F0F78765"/>
    <w:rsid w:val="F67D2503"/>
    <w:rsid w:val="FF0D4F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1529</Words>
  <Characters>1626</Characters>
  <Lines>0</Lines>
  <Paragraphs>0</Paragraphs>
  <TotalTime>2</TotalTime>
  <ScaleCrop>false</ScaleCrop>
  <LinksUpToDate>false</LinksUpToDate>
  <CharactersWithSpaces>1639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2026-01-06T14:46:00Z</dcterms:created>
  <dc:creator>厚德载物</dc:creator>
  <cp:lastModifiedBy>嬛</cp:lastModifiedBy>
  <dcterms:modified xsi:type="dcterms:W3CDTF">2026-01-23T06:38:40Z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0EB10773617B464EB05672AF01778162_13</vt:lpwstr>
  </property>
  <property fmtid="{D5CDD505-2E9C-101B-9397-08002B2CF9AE}" pid="4" name="KSOTemplateDocerSaveRecord">
    <vt:lpwstr>eyJoZGlkIjoiNDA0NDljNmFiMzFkY2ZjZmQ4N2MzMDQyM2Q3NzlkMzMiLCJ1c2VySWQiOiI1MjQ4Mzc4MjkifQ==</vt:lpwstr>
  </property>
</Properties>
</file>