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高青县卫生健康局</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2021年政府信息公开工作年度报告</w:t>
      </w:r>
    </w:p>
    <w:p>
      <w:pPr>
        <w:spacing w:line="560" w:lineRule="exact"/>
        <w:ind w:firstLine="640" w:firstLineChars="200"/>
        <w:rPr>
          <w:rFonts w:ascii="仿宋_GB2312" w:hAnsi="仿宋" w:eastAsia="仿宋_GB2312" w:cs="仿宋"/>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报告按照《中华人民共和国政府信息公开条例》（国务院令第711号，以下简称《条例》）和《山东省政府信息公开办法》（以下简称《办法》）要求，由高青县卫生健康局根据本年度政府信息公开工作情况编制。报告全文由总体情况、主动公开政府信息情况、收到和处理政府信息公开申请情况、政府信息公开行政复议行政诉讼情况、存在的主要问题及改进情况、其他需要报告的事项6个部分组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告中所列数据统计期限自2021年1月1日始，至2021年12月31日止。报告电子版可在高青县人民政府门户网站（www.gaoqing.gov.cn）查阅和下载。如对报告内容有疑问，请与高青县卫生健康局办公室联系（地址：高青县城清河路9号；邮编：256300；电话：0533-6961556；传真：0533-6961556）。</w:t>
      </w:r>
    </w:p>
    <w:p>
      <w:pPr>
        <w:spacing w:line="560" w:lineRule="exact"/>
        <w:ind w:firstLine="640" w:firstLineChars="200"/>
        <w:jc w:val="left"/>
        <w:rPr>
          <w:rFonts w:ascii="黑体" w:hAnsi="黑体" w:eastAsia="黑体" w:cs="黑体"/>
          <w:kern w:val="22"/>
          <w:sz w:val="32"/>
          <w:szCs w:val="32"/>
        </w:rPr>
      </w:pPr>
      <w:r>
        <w:rPr>
          <w:rFonts w:hint="eastAsia" w:ascii="黑体" w:hAnsi="黑体" w:eastAsia="黑体" w:cs="黑体"/>
          <w:kern w:val="22"/>
          <w:sz w:val="32"/>
          <w:szCs w:val="32"/>
        </w:rPr>
        <w:t>一、总体情况</w:t>
      </w:r>
    </w:p>
    <w:p>
      <w:pPr>
        <w:pStyle w:val="9"/>
        <w:spacing w:after="0" w:line="560" w:lineRule="exact"/>
        <w:ind w:firstLine="640" w:firstLineChars="200"/>
        <w:rPr>
          <w:rFonts w:ascii="楷体_GB2312" w:hAnsi="楷体_GB2312" w:eastAsia="楷体_GB2312" w:cs="楷体_GB2312"/>
          <w:sz w:val="19"/>
          <w:szCs w:val="19"/>
        </w:rPr>
      </w:pPr>
      <w:r>
        <w:rPr>
          <w:rFonts w:hint="eastAsia" w:ascii="楷体_GB2312" w:hAnsi="楷体_GB2312" w:eastAsia="楷体_GB2312" w:cs="楷体_GB2312"/>
          <w:kern w:val="22"/>
          <w:sz w:val="32"/>
          <w:szCs w:val="32"/>
        </w:rPr>
        <w:t>（一）主动公开</w:t>
      </w:r>
    </w:p>
    <w:p>
      <w:pPr>
        <w:pStyle w:val="9"/>
        <w:widowControl/>
        <w:spacing w:after="0" w:line="560" w:lineRule="exact"/>
        <w:ind w:firstLine="640" w:firstLineChars="200"/>
        <w:jc w:val="both"/>
        <w:rPr>
          <w:rFonts w:ascii="仿宋_GB2312" w:hAnsi="仿宋_GB2312" w:eastAsia="仿宋_GB2312" w:cs="仿宋_GB2312"/>
          <w:kern w:val="22"/>
          <w:sz w:val="32"/>
          <w:szCs w:val="32"/>
        </w:rPr>
      </w:pPr>
      <w:r>
        <w:rPr>
          <w:rFonts w:hint="eastAsia" w:ascii="仿宋_GB2312" w:hAnsi="仿宋_GB2312" w:eastAsia="仿宋_GB2312" w:cs="仿宋_GB2312"/>
          <w:sz w:val="32"/>
          <w:szCs w:val="32"/>
        </w:rPr>
        <w:t>不断完善政务公开制度建设，依据工作实际先后印发各项疫情防控相关政策及常态化疫情防控制度。2021年，新增设公共卫生服务、疫情防控及健康科普等栏目，公开信息近200条，按月公开高龄补贴发放情况。坚持政策文件与解读材料同步组织、同步审签、同步部署，针对疫情防控相关制度政策进行积极解读回应。</w:t>
      </w:r>
      <w:r>
        <w:rPr>
          <w:rFonts w:hint="eastAsia" w:ascii="仿宋_GB2312" w:hAnsi="仿宋_GB2312" w:eastAsia="仿宋_GB2312" w:cs="仿宋_GB2312"/>
          <w:kern w:val="22"/>
          <w:sz w:val="32"/>
          <w:szCs w:val="32"/>
        </w:rPr>
        <w:t>积极</w:t>
      </w:r>
      <w:r>
        <w:rPr>
          <w:rFonts w:hint="eastAsia" w:ascii="仿宋_GB2312" w:hAnsi="仿宋_GB2312" w:eastAsia="仿宋_GB2312" w:cs="仿宋_GB2312"/>
          <w:sz w:val="32"/>
          <w:szCs w:val="32"/>
        </w:rPr>
        <w:t>组织开展“群众满意度提升宣传月”活动，通过开展“我来帮您办”满意度回访、赠送爱心健康礼包、“爱心早餐”等相关服务，精准对接群众看病就医中“急盼难愁”问题，用心为民服务。</w:t>
      </w:r>
    </w:p>
    <w:p>
      <w:pPr>
        <w:pStyle w:val="9"/>
        <w:widowControl/>
        <w:spacing w:after="0" w:line="560" w:lineRule="exact"/>
        <w:ind w:firstLine="640" w:firstLineChars="200"/>
        <w:rPr>
          <w:rFonts w:ascii="楷体_GB2312" w:hAnsi="楷体_GB2312" w:eastAsia="楷体_GB2312" w:cs="楷体_GB2312"/>
          <w:kern w:val="22"/>
          <w:sz w:val="32"/>
          <w:szCs w:val="32"/>
        </w:rPr>
      </w:pPr>
      <w:r>
        <w:rPr>
          <w:rFonts w:hint="eastAsia" w:ascii="楷体_GB2312" w:hAnsi="楷体_GB2312" w:eastAsia="楷体_GB2312" w:cs="楷体_GB2312"/>
          <w:kern w:val="22"/>
          <w:sz w:val="32"/>
          <w:szCs w:val="32"/>
        </w:rPr>
        <w:t>（二）依申请公开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2021年未收到政府信息公开申请，上年度未结转政府信息公开申请，未因政府信息公开被申请行政复议、提起行政诉讼。</w:t>
      </w:r>
    </w:p>
    <w:p>
      <w:pPr>
        <w:pStyle w:val="9"/>
        <w:widowControl/>
        <w:spacing w:after="0" w:line="560" w:lineRule="exact"/>
        <w:ind w:firstLine="640" w:firstLineChars="200"/>
        <w:jc w:val="both"/>
        <w:rPr>
          <w:rFonts w:ascii="楷体_GB2312" w:hAnsi="楷体_GB2312" w:eastAsia="楷体_GB2312" w:cs="楷体_GB2312"/>
          <w:kern w:val="22"/>
          <w:sz w:val="32"/>
          <w:szCs w:val="32"/>
        </w:rPr>
      </w:pPr>
      <w:r>
        <w:rPr>
          <w:rFonts w:hint="eastAsia" w:ascii="楷体_GB2312" w:hAnsi="楷体_GB2312" w:eastAsia="楷体_GB2312" w:cs="楷体_GB2312"/>
          <w:kern w:val="22"/>
          <w:sz w:val="32"/>
          <w:szCs w:val="32"/>
        </w:rPr>
        <w:t>（三）政府信息管理</w:t>
      </w:r>
    </w:p>
    <w:p>
      <w:pPr>
        <w:pStyle w:val="9"/>
        <w:widowControl/>
        <w:spacing w:after="0" w:line="560" w:lineRule="exact"/>
        <w:ind w:firstLine="640" w:firstLineChars="200"/>
        <w:jc w:val="both"/>
        <w:rPr>
          <w:rFonts w:ascii="仿宋_GB2312" w:hAnsi="仿宋_GB2312" w:eastAsia="仿宋_GB2312" w:cs="仿宋_GB2312"/>
          <w:kern w:val="22"/>
          <w:sz w:val="32"/>
          <w:szCs w:val="32"/>
        </w:rPr>
      </w:pPr>
      <w:r>
        <w:rPr>
          <w:rFonts w:hint="eastAsia" w:ascii="仿宋_GB2312" w:hAnsi="仿宋_GB2312" w:eastAsia="仿宋_GB2312" w:cs="仿宋_GB2312"/>
          <w:kern w:val="22"/>
          <w:sz w:val="32"/>
          <w:szCs w:val="32"/>
        </w:rPr>
        <w:t>加强政府信息制度管理，建立健全信息收集、审查、处理机制。根据政府信息公开审查机制，严格执行“先审查，后公开”“一事一审”原则及保密审查要求。依据政务公开相关责任分工，针对医疗卫生、</w:t>
      </w:r>
      <w:bookmarkStart w:id="0" w:name="_GoBack"/>
      <w:bookmarkEnd w:id="0"/>
      <w:r>
        <w:rPr>
          <w:rFonts w:hint="eastAsia" w:ascii="仿宋_GB2312" w:hAnsi="仿宋_GB2312" w:eastAsia="仿宋_GB2312" w:cs="仿宋_GB2312"/>
          <w:kern w:val="22"/>
          <w:sz w:val="32"/>
          <w:szCs w:val="32"/>
          <w:lang w:eastAsia="zh-CN"/>
        </w:rPr>
        <w:t>“双随机、一公开”</w:t>
      </w:r>
      <w:r>
        <w:rPr>
          <w:rFonts w:hint="eastAsia" w:ascii="仿宋_GB2312" w:hAnsi="仿宋_GB2312" w:eastAsia="仿宋_GB2312" w:cs="仿宋_GB2312"/>
          <w:kern w:val="22"/>
          <w:sz w:val="32"/>
          <w:szCs w:val="32"/>
        </w:rPr>
        <w:t>等相关栏目，动态、及时调整公开内容，强化电子政务和政务公开的组织保障。</w:t>
      </w:r>
    </w:p>
    <w:p>
      <w:pPr>
        <w:pStyle w:val="9"/>
        <w:widowControl/>
        <w:spacing w:after="0" w:line="560" w:lineRule="exact"/>
        <w:ind w:firstLine="640" w:firstLineChars="200"/>
        <w:jc w:val="both"/>
        <w:rPr>
          <w:rFonts w:ascii="楷体_GB2312" w:hAnsi="楷体_GB2312" w:eastAsia="楷体_GB2312" w:cs="楷体_GB2312"/>
          <w:kern w:val="22"/>
          <w:sz w:val="32"/>
          <w:szCs w:val="32"/>
        </w:rPr>
      </w:pPr>
      <w:r>
        <w:rPr>
          <w:rFonts w:hint="eastAsia" w:ascii="楷体_GB2312" w:hAnsi="楷体_GB2312" w:eastAsia="楷体_GB2312" w:cs="楷体_GB2312"/>
          <w:kern w:val="22"/>
          <w:sz w:val="32"/>
          <w:szCs w:val="32"/>
        </w:rPr>
        <w:t>（四）政府信息公开平台建设</w:t>
      </w:r>
    </w:p>
    <w:p>
      <w:pPr>
        <w:pStyle w:val="9"/>
        <w:widowControl/>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kern w:val="22"/>
          <w:sz w:val="32"/>
          <w:szCs w:val="32"/>
        </w:rPr>
        <w:t>完善平台畅通公开渠道，认真做好县政府网站信息公开平台相关板块的信息发布维护工作，落实专人负责，定期发布信息，加强微信公众号的常态化管理，做到信息内容及时更新，保障栏目更新频率。</w:t>
      </w:r>
    </w:p>
    <w:p>
      <w:pPr>
        <w:pStyle w:val="9"/>
        <w:widowControl/>
        <w:numPr>
          <w:ilvl w:val="0"/>
          <w:numId w:val="1"/>
        </w:numPr>
        <w:spacing w:after="0" w:line="560" w:lineRule="exact"/>
        <w:ind w:firstLine="640" w:firstLineChars="200"/>
        <w:jc w:val="both"/>
        <w:rPr>
          <w:rFonts w:ascii="楷体_GB2312" w:hAnsi="楷体_GB2312" w:eastAsia="楷体_GB2312" w:cs="楷体_GB2312"/>
          <w:kern w:val="22"/>
          <w:sz w:val="32"/>
          <w:szCs w:val="32"/>
        </w:rPr>
      </w:pPr>
      <w:r>
        <w:rPr>
          <w:rFonts w:hint="eastAsia" w:ascii="楷体_GB2312" w:hAnsi="楷体_GB2312" w:eastAsia="楷体_GB2312" w:cs="楷体_GB2312"/>
          <w:kern w:val="22"/>
          <w:sz w:val="32"/>
          <w:szCs w:val="32"/>
        </w:rPr>
        <w:t>监督保障</w:t>
      </w:r>
    </w:p>
    <w:p>
      <w:pPr>
        <w:pStyle w:val="9"/>
        <w:widowControl/>
        <w:spacing w:after="0" w:line="560" w:lineRule="exact"/>
        <w:ind w:firstLine="640" w:firstLineChars="200"/>
        <w:jc w:val="both"/>
        <w:rPr>
          <w:rFonts w:ascii="仿宋_GB2312" w:hAnsi="仿宋_GB2312" w:eastAsia="仿宋_GB2312" w:cs="仿宋_GB2312"/>
          <w:kern w:val="22"/>
          <w:sz w:val="32"/>
          <w:szCs w:val="32"/>
        </w:rPr>
      </w:pPr>
      <w:r>
        <w:rPr>
          <w:rFonts w:hint="eastAsia" w:ascii="仿宋_GB2312" w:hAnsi="仿宋_GB2312" w:eastAsia="仿宋_GB2312" w:cs="仿宋_GB2312"/>
          <w:sz w:val="32"/>
          <w:szCs w:val="32"/>
        </w:rPr>
        <w:t>建立了“主要领导亲自抓、分管领导具体抓、各科室各司其职，办公室协调办理”的领导体制和工作机制。调整了政府信息公开领导小组，由主要领导担任领导小组组长，班子其他成员为副组长，相关科室负责人为成员，并由一名分管领导兼任领导小组办公室主任。召开政务公开工作暨业务培训会议，对年度政务公开相关工作进行部署和培训。</w:t>
      </w:r>
      <w:r>
        <w:rPr>
          <w:rFonts w:hint="eastAsia" w:ascii="仿宋_GB2312" w:hAnsi="仿宋_GB2312" w:eastAsia="仿宋_GB2312" w:cs="仿宋_GB2312"/>
          <w:kern w:val="22"/>
          <w:sz w:val="32"/>
          <w:szCs w:val="32"/>
        </w:rPr>
        <w:t>紧跟新修订的政府信息公开条例的变化，不断强化依法公开意识，增强依法公开能力，确保规范做好信息公开工作。</w:t>
      </w:r>
    </w:p>
    <w:p>
      <w:pPr>
        <w:pStyle w:val="9"/>
        <w:widowControl/>
        <w:spacing w:after="0" w:line="560" w:lineRule="exact"/>
        <w:ind w:firstLine="640" w:firstLineChars="200"/>
        <w:jc w:val="both"/>
        <w:rPr>
          <w:rFonts w:ascii="仿宋_GB2312" w:hAnsi="仿宋_GB2312" w:eastAsia="仿宋_GB2312" w:cs="仿宋_GB2312"/>
          <w:kern w:val="22"/>
          <w:sz w:val="32"/>
          <w:szCs w:val="32"/>
        </w:rPr>
      </w:pPr>
    </w:p>
    <w:p>
      <w:pPr>
        <w:pStyle w:val="9"/>
        <w:widowControl/>
        <w:spacing w:after="0"/>
        <w:jc w:val="both"/>
        <w:rPr>
          <w:rFonts w:ascii="仿宋_GB2312" w:hAnsi="仿宋_GB2312" w:eastAsia="仿宋_GB2312" w:cs="仿宋_GB2312"/>
          <w:kern w:val="22"/>
          <w:sz w:val="32"/>
          <w:szCs w:val="32"/>
        </w:rPr>
      </w:pPr>
      <w:r>
        <w:rPr>
          <w:rFonts w:hint="eastAsia" w:ascii="仿宋_GB2312" w:hAnsi="仿宋_GB2312" w:eastAsia="仿宋_GB2312" w:cs="仿宋_GB2312"/>
          <w:kern w:val="22"/>
          <w:sz w:val="32"/>
          <w:szCs w:val="32"/>
        </w:rPr>
        <w:drawing>
          <wp:inline distT="0" distB="0" distL="114300" distR="114300">
            <wp:extent cx="5272405" cy="3491865"/>
            <wp:effectExtent l="0" t="0" r="4445" b="13335"/>
            <wp:docPr id="2" name="图片 2" descr="DSC_457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DSC_4577"/>
                    <pic:cNvPicPr>
                      <a:picLocks noChangeAspect="true"/>
                    </pic:cNvPicPr>
                  </pic:nvPicPr>
                  <pic:blipFill>
                    <a:blip r:embed="rId4"/>
                    <a:stretch>
                      <a:fillRect/>
                    </a:stretch>
                  </pic:blipFill>
                  <pic:spPr>
                    <a:xfrm>
                      <a:off x="0" y="0"/>
                      <a:ext cx="5272405" cy="3491865"/>
                    </a:xfrm>
                    <a:prstGeom prst="rect">
                      <a:avLst/>
                    </a:prstGeom>
                  </pic:spPr>
                </pic:pic>
              </a:graphicData>
            </a:graphic>
          </wp:inline>
        </w:drawing>
      </w:r>
    </w:p>
    <w:p>
      <w:pPr>
        <w:pStyle w:val="9"/>
        <w:widowControl/>
        <w:spacing w:after="0" w:line="560" w:lineRule="exact"/>
        <w:ind w:firstLine="640" w:firstLineChars="200"/>
        <w:jc w:val="both"/>
        <w:rPr>
          <w:rFonts w:ascii="黑体" w:hAnsi="黑体" w:eastAsia="黑体" w:cs="黑体"/>
          <w:sz w:val="32"/>
          <w:szCs w:val="32"/>
        </w:rPr>
      </w:pPr>
    </w:p>
    <w:p>
      <w:pPr>
        <w:pStyle w:val="9"/>
        <w:widowControl/>
        <w:spacing w:after="0" w:line="560" w:lineRule="exact"/>
        <w:ind w:firstLine="640" w:firstLineChars="200"/>
        <w:jc w:val="both"/>
        <w:rPr>
          <w:rFonts w:ascii="黑体" w:hAnsi="黑体" w:eastAsia="黑体" w:cs="黑体"/>
          <w:sz w:val="32"/>
          <w:szCs w:val="32"/>
        </w:rPr>
      </w:pPr>
    </w:p>
    <w:p>
      <w:pPr>
        <w:pStyle w:val="9"/>
        <w:widowControl/>
        <w:spacing w:after="0" w:line="560" w:lineRule="exact"/>
        <w:ind w:firstLine="640" w:firstLineChars="200"/>
        <w:jc w:val="both"/>
        <w:rPr>
          <w:rFonts w:ascii="黑体" w:hAnsi="黑体" w:eastAsia="黑体" w:cs="黑体"/>
          <w:sz w:val="32"/>
          <w:szCs w:val="32"/>
        </w:rPr>
      </w:pPr>
    </w:p>
    <w:p>
      <w:pPr>
        <w:pStyle w:val="9"/>
        <w:widowControl/>
        <w:spacing w:after="0" w:line="560" w:lineRule="exact"/>
        <w:ind w:firstLine="640" w:firstLineChars="200"/>
        <w:jc w:val="both"/>
        <w:rPr>
          <w:rFonts w:ascii="黑体" w:hAnsi="黑体" w:eastAsia="黑体" w:cs="黑体"/>
          <w:sz w:val="32"/>
          <w:szCs w:val="32"/>
        </w:rPr>
      </w:pPr>
    </w:p>
    <w:p>
      <w:pPr>
        <w:pStyle w:val="9"/>
        <w:widowControl/>
        <w:spacing w:after="0" w:line="560" w:lineRule="exact"/>
        <w:ind w:firstLine="640" w:firstLineChars="200"/>
        <w:jc w:val="both"/>
        <w:rPr>
          <w:rFonts w:ascii="黑体" w:hAnsi="黑体" w:eastAsia="黑体" w:cs="黑体"/>
          <w:sz w:val="32"/>
          <w:szCs w:val="32"/>
        </w:rPr>
      </w:pPr>
    </w:p>
    <w:p>
      <w:pPr>
        <w:pStyle w:val="9"/>
        <w:widowControl/>
        <w:spacing w:after="0" w:line="560" w:lineRule="exact"/>
        <w:ind w:firstLine="640" w:firstLineChars="200"/>
        <w:jc w:val="both"/>
        <w:rPr>
          <w:rFonts w:ascii="黑体" w:hAnsi="黑体" w:eastAsia="黑体" w:cs="黑体"/>
          <w:sz w:val="32"/>
          <w:szCs w:val="32"/>
        </w:rPr>
      </w:pPr>
    </w:p>
    <w:p>
      <w:pPr>
        <w:pStyle w:val="9"/>
        <w:widowControl/>
        <w:spacing w:after="0" w:line="560" w:lineRule="exact"/>
        <w:ind w:firstLine="640" w:firstLineChars="200"/>
        <w:jc w:val="both"/>
        <w:rPr>
          <w:rFonts w:ascii="黑体" w:hAnsi="黑体" w:eastAsia="黑体" w:cs="黑体"/>
          <w:sz w:val="32"/>
          <w:szCs w:val="32"/>
        </w:rPr>
      </w:pPr>
    </w:p>
    <w:p>
      <w:pPr>
        <w:pStyle w:val="9"/>
        <w:widowControl/>
        <w:spacing w:after="0" w:line="560" w:lineRule="exact"/>
        <w:ind w:firstLine="640" w:firstLineChars="200"/>
        <w:jc w:val="both"/>
        <w:rPr>
          <w:rFonts w:ascii="黑体" w:hAnsi="黑体" w:eastAsia="黑体" w:cs="黑体"/>
          <w:sz w:val="32"/>
          <w:szCs w:val="32"/>
        </w:rPr>
      </w:pPr>
    </w:p>
    <w:p>
      <w:pPr>
        <w:pStyle w:val="9"/>
        <w:widowControl/>
        <w:spacing w:after="0" w:line="560" w:lineRule="exact"/>
        <w:ind w:firstLine="640" w:firstLineChars="200"/>
        <w:jc w:val="both"/>
        <w:rPr>
          <w:rFonts w:ascii="黑体" w:hAnsi="黑体" w:eastAsia="黑体" w:cs="黑体"/>
          <w:sz w:val="32"/>
          <w:szCs w:val="32"/>
        </w:rPr>
      </w:pPr>
    </w:p>
    <w:p>
      <w:pPr>
        <w:pStyle w:val="9"/>
        <w:widowControl/>
        <w:spacing w:after="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二、主动公开政府信息情况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3"/>
        <w:gridCol w:w="2022"/>
        <w:gridCol w:w="202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jc w:val="center"/>
              <w:rPr>
                <w:rFonts w:ascii="黑体" w:hAnsi="黑体" w:eastAsia="黑体"/>
                <w:sz w:val="20"/>
              </w:rPr>
            </w:pPr>
            <w:r>
              <w:rPr>
                <w:rFonts w:hint="eastAsia" w:ascii="宋体" w:hAnsi="宋体" w:cs="宋体"/>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宋体" w:hAnsi="宋体" w:cs="宋体"/>
                <w:color w:val="000000"/>
                <w:sz w:val="20"/>
              </w:rPr>
            </w:pPr>
            <w:r>
              <w:rPr>
                <w:rFonts w:hint="eastAsia" w:ascii="宋体" w:hAnsi="宋体" w:cs="宋体"/>
                <w:color w:val="000000"/>
                <w:sz w:val="20"/>
              </w:rPr>
              <w:t>信息内容</w:t>
            </w:r>
          </w:p>
        </w:tc>
        <w:tc>
          <w:tcPr>
            <w:tcW w:w="2130" w:type="dxa"/>
            <w:vAlign w:val="center"/>
          </w:tcPr>
          <w:p>
            <w:pPr>
              <w:widowControl/>
              <w:jc w:val="center"/>
              <w:rPr>
                <w:rFonts w:ascii="宋体" w:hAnsi="宋体" w:cs="宋体"/>
                <w:sz w:val="20"/>
              </w:rPr>
            </w:pPr>
            <w:r>
              <w:rPr>
                <w:rFonts w:hint="eastAsia" w:ascii="宋体" w:hAnsi="宋体" w:cs="宋体"/>
                <w:color w:val="000000"/>
                <w:sz w:val="20"/>
              </w:rPr>
              <w:t>本年</w:t>
            </w:r>
            <w:r>
              <w:rPr>
                <w:rFonts w:ascii="宋体" w:hAnsi="宋体" w:cs="Calibri"/>
                <w:sz w:val="20"/>
              </w:rPr>
              <w:t>制</w:t>
            </w:r>
            <w:r>
              <w:rPr>
                <w:rFonts w:hint="eastAsia" w:ascii="宋体" w:hAnsi="宋体" w:cs="宋体"/>
                <w:sz w:val="20"/>
              </w:rPr>
              <w:t>发件</w:t>
            </w:r>
            <w:r>
              <w:rPr>
                <w:rFonts w:ascii="宋体" w:hAnsi="宋体" w:cs="Calibri"/>
                <w:sz w:val="20"/>
              </w:rPr>
              <w:t>数</w:t>
            </w:r>
          </w:p>
        </w:tc>
        <w:tc>
          <w:tcPr>
            <w:tcW w:w="2131" w:type="dxa"/>
            <w:vAlign w:val="center"/>
          </w:tcPr>
          <w:p>
            <w:pPr>
              <w:widowControl/>
              <w:jc w:val="center"/>
              <w:rPr>
                <w:rFonts w:ascii="宋体" w:hAnsi="宋体" w:cs="宋体"/>
                <w:sz w:val="20"/>
              </w:rPr>
            </w:pPr>
            <w:r>
              <w:rPr>
                <w:rFonts w:hint="eastAsia" w:ascii="宋体" w:hAnsi="宋体" w:cs="宋体"/>
                <w:color w:val="000000"/>
                <w:sz w:val="20"/>
              </w:rPr>
              <w:t>本年废止件数</w:t>
            </w:r>
          </w:p>
        </w:tc>
        <w:tc>
          <w:tcPr>
            <w:tcW w:w="2131" w:type="dxa"/>
            <w:vAlign w:val="center"/>
          </w:tcPr>
          <w:p>
            <w:pPr>
              <w:widowControl/>
              <w:jc w:val="center"/>
              <w:rPr>
                <w:rFonts w:ascii="宋体" w:hAnsi="宋体" w:cs="宋体"/>
                <w:sz w:val="20"/>
              </w:rPr>
            </w:pPr>
            <w:r>
              <w:rPr>
                <w:rFonts w:hint="eastAsia" w:ascii="宋体" w:hAnsi="宋体" w:cs="宋体"/>
                <w:color w:val="000000"/>
                <w:sz w:val="20"/>
              </w:rPr>
              <w:t>现行有效件</w:t>
            </w:r>
            <w:r>
              <w:rPr>
                <w:rFonts w:ascii="宋体" w:hAnsi="宋体" w:cs="Calibri"/>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宋体" w:hAnsi="宋体" w:cs="宋体"/>
                <w:color w:val="000000"/>
                <w:sz w:val="20"/>
              </w:rPr>
            </w:pPr>
            <w:r>
              <w:rPr>
                <w:rFonts w:hint="eastAsia" w:ascii="宋体" w:hAnsi="宋体" w:cs="宋体"/>
                <w:color w:val="000000"/>
                <w:sz w:val="20"/>
              </w:rPr>
              <w:t>规章</w:t>
            </w:r>
          </w:p>
        </w:tc>
        <w:tc>
          <w:tcPr>
            <w:tcW w:w="2130" w:type="dxa"/>
            <w:vAlign w:val="center"/>
          </w:tcPr>
          <w:p>
            <w:pPr>
              <w:jc w:val="center"/>
              <w:rPr>
                <w:rFonts w:ascii="黑体" w:hAnsi="黑体" w:eastAsia="黑体"/>
                <w:sz w:val="20"/>
              </w:rPr>
            </w:pPr>
            <w:r>
              <w:rPr>
                <w:rFonts w:hint="eastAsia" w:ascii="黑体" w:hAnsi="黑体" w:eastAsia="黑体"/>
                <w:sz w:val="20"/>
              </w:rPr>
              <w:t>0</w:t>
            </w:r>
          </w:p>
        </w:tc>
        <w:tc>
          <w:tcPr>
            <w:tcW w:w="2131" w:type="dxa"/>
            <w:vAlign w:val="center"/>
          </w:tcPr>
          <w:p>
            <w:pPr>
              <w:jc w:val="center"/>
              <w:rPr>
                <w:rFonts w:ascii="黑体" w:hAnsi="黑体" w:eastAsia="黑体"/>
                <w:sz w:val="20"/>
              </w:rPr>
            </w:pPr>
            <w:r>
              <w:rPr>
                <w:rFonts w:hint="eastAsia" w:ascii="黑体" w:hAnsi="黑体" w:eastAsia="黑体"/>
                <w:sz w:val="20"/>
              </w:rPr>
              <w:t>0</w:t>
            </w:r>
          </w:p>
        </w:tc>
        <w:tc>
          <w:tcPr>
            <w:tcW w:w="2131" w:type="dxa"/>
            <w:vAlign w:val="center"/>
          </w:tcPr>
          <w:p>
            <w:pPr>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宋体" w:hAnsi="宋体" w:cs="宋体"/>
                <w:color w:val="000000"/>
                <w:sz w:val="20"/>
              </w:rPr>
            </w:pPr>
            <w:r>
              <w:rPr>
                <w:rFonts w:hint="eastAsia" w:ascii="宋体" w:hAnsi="宋体" w:cs="宋体"/>
                <w:color w:val="000000"/>
                <w:sz w:val="20"/>
              </w:rPr>
              <w:t>行政规范性文件</w:t>
            </w:r>
          </w:p>
        </w:tc>
        <w:tc>
          <w:tcPr>
            <w:tcW w:w="2130" w:type="dxa"/>
            <w:vAlign w:val="center"/>
          </w:tcPr>
          <w:p>
            <w:pPr>
              <w:jc w:val="center"/>
              <w:rPr>
                <w:rFonts w:ascii="黑体" w:hAnsi="黑体" w:eastAsia="黑体"/>
                <w:sz w:val="20"/>
              </w:rPr>
            </w:pPr>
            <w:r>
              <w:rPr>
                <w:rFonts w:hint="eastAsia" w:ascii="黑体" w:hAnsi="黑体" w:eastAsia="黑体"/>
                <w:sz w:val="20"/>
              </w:rPr>
              <w:t>0</w:t>
            </w:r>
          </w:p>
        </w:tc>
        <w:tc>
          <w:tcPr>
            <w:tcW w:w="2131" w:type="dxa"/>
            <w:vAlign w:val="center"/>
          </w:tcPr>
          <w:p>
            <w:pPr>
              <w:jc w:val="center"/>
              <w:rPr>
                <w:rFonts w:ascii="黑体" w:hAnsi="黑体" w:eastAsia="黑体"/>
                <w:sz w:val="20"/>
              </w:rPr>
            </w:pPr>
            <w:r>
              <w:rPr>
                <w:rFonts w:hint="eastAsia" w:ascii="黑体" w:hAnsi="黑体" w:eastAsia="黑体"/>
                <w:sz w:val="20"/>
              </w:rPr>
              <w:t>0</w:t>
            </w:r>
          </w:p>
        </w:tc>
        <w:tc>
          <w:tcPr>
            <w:tcW w:w="2131" w:type="dxa"/>
            <w:vAlign w:val="center"/>
          </w:tcPr>
          <w:p>
            <w:pPr>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jc w:val="center"/>
              <w:rPr>
                <w:rFonts w:ascii="宋体" w:hAnsi="宋体" w:cs="宋体"/>
                <w:color w:val="000000"/>
                <w:sz w:val="20"/>
              </w:rPr>
            </w:pPr>
            <w:r>
              <w:rPr>
                <w:rFonts w:hint="eastAsia" w:ascii="宋体" w:hAnsi="宋体" w:cs="宋体"/>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宋体" w:hAnsi="宋体" w:cs="宋体"/>
                <w:color w:val="000000"/>
                <w:sz w:val="20"/>
              </w:rPr>
            </w:pPr>
            <w:r>
              <w:rPr>
                <w:rFonts w:hint="eastAsia" w:ascii="宋体" w:hAnsi="宋体" w:cs="宋体"/>
                <w:color w:val="000000"/>
                <w:sz w:val="20"/>
              </w:rPr>
              <w:t>信息内容</w:t>
            </w:r>
          </w:p>
        </w:tc>
        <w:tc>
          <w:tcPr>
            <w:tcW w:w="6392" w:type="dxa"/>
            <w:gridSpan w:val="3"/>
            <w:vAlign w:val="center"/>
          </w:tcPr>
          <w:p>
            <w:pPr>
              <w:jc w:val="center"/>
              <w:rPr>
                <w:rFonts w:ascii="黑体" w:hAnsi="黑体" w:eastAsia="黑体"/>
                <w:sz w:val="20"/>
              </w:rPr>
            </w:pPr>
            <w:r>
              <w:rPr>
                <w:rFonts w:hint="eastAsia" w:ascii="宋体" w:hAnsi="宋体" w:cs="宋体"/>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宋体" w:hAnsi="宋体" w:cs="宋体"/>
                <w:color w:val="000000"/>
                <w:sz w:val="20"/>
              </w:rPr>
            </w:pPr>
            <w:r>
              <w:rPr>
                <w:rFonts w:hint="eastAsia" w:ascii="宋体" w:hAnsi="宋体" w:cs="宋体"/>
                <w:color w:val="000000"/>
                <w:sz w:val="20"/>
              </w:rPr>
              <w:t>行政许可</w:t>
            </w:r>
          </w:p>
        </w:tc>
        <w:tc>
          <w:tcPr>
            <w:tcW w:w="6392" w:type="dxa"/>
            <w:gridSpan w:val="3"/>
            <w:vAlign w:val="center"/>
          </w:tcPr>
          <w:p>
            <w:pPr>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jc w:val="center"/>
              <w:rPr>
                <w:rFonts w:ascii="宋体" w:hAnsi="宋体" w:cs="宋体"/>
                <w:color w:val="000000"/>
                <w:sz w:val="20"/>
              </w:rPr>
            </w:pPr>
            <w:r>
              <w:rPr>
                <w:rFonts w:hint="eastAsia" w:ascii="宋体" w:hAnsi="宋体" w:cs="宋体"/>
                <w:color w:val="00000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宋体" w:hAnsi="宋体" w:cs="宋体"/>
                <w:color w:val="000000"/>
                <w:sz w:val="20"/>
              </w:rPr>
            </w:pPr>
            <w:r>
              <w:rPr>
                <w:rFonts w:hint="eastAsia" w:ascii="宋体" w:hAnsi="宋体" w:cs="宋体"/>
                <w:color w:val="000000"/>
                <w:sz w:val="20"/>
              </w:rPr>
              <w:t>信息内容</w:t>
            </w:r>
          </w:p>
        </w:tc>
        <w:tc>
          <w:tcPr>
            <w:tcW w:w="6392" w:type="dxa"/>
            <w:gridSpan w:val="3"/>
            <w:vAlign w:val="center"/>
          </w:tcPr>
          <w:p>
            <w:pPr>
              <w:jc w:val="center"/>
              <w:rPr>
                <w:rFonts w:ascii="黑体" w:hAnsi="黑体" w:eastAsia="黑体"/>
                <w:sz w:val="20"/>
              </w:rPr>
            </w:pPr>
            <w:r>
              <w:rPr>
                <w:rFonts w:hint="eastAsia" w:ascii="宋体" w:hAnsi="宋体" w:cs="宋体"/>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宋体" w:hAnsi="宋体" w:cs="宋体"/>
                <w:color w:val="000000"/>
                <w:sz w:val="20"/>
              </w:rPr>
            </w:pPr>
            <w:r>
              <w:rPr>
                <w:rFonts w:hint="eastAsia" w:ascii="宋体" w:hAnsi="宋体" w:cs="宋体"/>
                <w:color w:val="000000"/>
                <w:sz w:val="20"/>
              </w:rPr>
              <w:t>行政处罚</w:t>
            </w:r>
          </w:p>
        </w:tc>
        <w:tc>
          <w:tcPr>
            <w:tcW w:w="6392" w:type="dxa"/>
            <w:gridSpan w:val="3"/>
            <w:vAlign w:val="center"/>
          </w:tcPr>
          <w:p>
            <w:pPr>
              <w:jc w:val="center"/>
              <w:rPr>
                <w:rFonts w:hint="default" w:ascii="黑体" w:hAnsi="黑体" w:eastAsia="黑体"/>
                <w:sz w:val="20"/>
                <w:lang w:val="en-US" w:eastAsia="zh-CN"/>
              </w:rPr>
            </w:pPr>
            <w:r>
              <w:rPr>
                <w:rFonts w:hint="eastAsia" w:ascii="黑体" w:hAnsi="黑体" w:eastAsia="黑体"/>
                <w:sz w:val="20"/>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宋体" w:hAnsi="宋体" w:cs="宋体"/>
                <w:color w:val="000000"/>
                <w:sz w:val="20"/>
              </w:rPr>
            </w:pPr>
            <w:r>
              <w:rPr>
                <w:rFonts w:hint="eastAsia" w:ascii="宋体" w:hAnsi="宋体" w:cs="宋体"/>
                <w:color w:val="000000"/>
                <w:sz w:val="20"/>
              </w:rPr>
              <w:t>行政强制</w:t>
            </w:r>
          </w:p>
        </w:tc>
        <w:tc>
          <w:tcPr>
            <w:tcW w:w="6392" w:type="dxa"/>
            <w:gridSpan w:val="3"/>
            <w:vAlign w:val="center"/>
          </w:tcPr>
          <w:p>
            <w:pPr>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jc w:val="center"/>
              <w:rPr>
                <w:rFonts w:ascii="宋体" w:hAnsi="宋体" w:cs="宋体"/>
                <w:color w:val="000000"/>
                <w:sz w:val="20"/>
              </w:rPr>
            </w:pPr>
            <w:r>
              <w:rPr>
                <w:rFonts w:hint="eastAsia" w:ascii="宋体" w:hAnsi="宋体" w:cs="宋体"/>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宋体" w:hAnsi="宋体" w:cs="宋体"/>
                <w:color w:val="000000"/>
                <w:sz w:val="20"/>
              </w:rPr>
            </w:pPr>
            <w:r>
              <w:rPr>
                <w:rFonts w:hint="eastAsia" w:ascii="宋体" w:hAnsi="宋体" w:cs="宋体"/>
                <w:color w:val="000000"/>
                <w:sz w:val="20"/>
              </w:rPr>
              <w:t>信息内容</w:t>
            </w:r>
          </w:p>
        </w:tc>
        <w:tc>
          <w:tcPr>
            <w:tcW w:w="6392" w:type="dxa"/>
            <w:gridSpan w:val="3"/>
            <w:vAlign w:val="center"/>
          </w:tcPr>
          <w:p>
            <w:pPr>
              <w:jc w:val="center"/>
              <w:rPr>
                <w:rFonts w:ascii="黑体" w:hAnsi="黑体" w:eastAsia="黑体"/>
                <w:sz w:val="20"/>
              </w:rPr>
            </w:pPr>
            <w:r>
              <w:rPr>
                <w:rFonts w:hint="eastAsia" w:ascii="宋体" w:hAnsi="宋体" w:cs="宋体"/>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宋体" w:hAnsi="宋体" w:cs="宋体"/>
                <w:color w:val="000000"/>
                <w:sz w:val="20"/>
              </w:rPr>
            </w:pPr>
            <w:r>
              <w:rPr>
                <w:rFonts w:hint="eastAsia" w:ascii="宋体" w:hAnsi="宋体" w:cs="宋体"/>
                <w:color w:val="000000"/>
                <w:sz w:val="20"/>
              </w:rPr>
              <w:t>行政事业性收费</w:t>
            </w:r>
          </w:p>
        </w:tc>
        <w:tc>
          <w:tcPr>
            <w:tcW w:w="6392" w:type="dxa"/>
            <w:gridSpan w:val="3"/>
            <w:vAlign w:val="center"/>
          </w:tcPr>
          <w:p>
            <w:pPr>
              <w:jc w:val="center"/>
              <w:rPr>
                <w:rFonts w:ascii="黑体" w:hAnsi="黑体" w:eastAsia="黑体"/>
                <w:sz w:val="20"/>
              </w:rPr>
            </w:pPr>
            <w:r>
              <w:rPr>
                <w:rFonts w:hint="eastAsia" w:ascii="黑体" w:hAnsi="黑体" w:eastAsia="黑体"/>
                <w:sz w:val="20"/>
              </w:rPr>
              <w:t>17.74</w:t>
            </w:r>
          </w:p>
        </w:tc>
      </w:tr>
    </w:tbl>
    <w:p>
      <w:pPr>
        <w:spacing w:after="156" w:afterLines="5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三、收到和处理政府信息公开申请情况</w:t>
      </w:r>
    </w:p>
    <w:tbl>
      <w:tblPr>
        <w:tblStyle w:val="10"/>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sz w:val="24"/>
              </w:rPr>
            </w:pPr>
            <w:r>
              <w:rPr>
                <w:rFonts w:hint="eastAsia" w:ascii="楷体" w:hAnsi="楷体" w:eastAsia="楷体" w:cs="宋体"/>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ascii="宋体" w:hAnsi="宋体" w:cs="宋体"/>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ascii="宋体" w:hAnsi="宋体" w:cs="宋体"/>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ascii="宋体" w:hAnsi="宋体" w:cs="宋体"/>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ascii="宋体" w:hAnsi="宋体" w:cs="宋体"/>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850" w:type="dxa"/>
            <w:vMerge w:val="continue"/>
            <w:tcBorders>
              <w:top w:val="nil"/>
              <w:left w:val="nil"/>
              <w:bottom w:val="single" w:color="auto" w:sz="8" w:space="0"/>
              <w:right w:val="single" w:color="auto" w:sz="8" w:space="0"/>
            </w:tcBorders>
            <w:vAlign w:val="center"/>
          </w:tcPr>
          <w:p>
            <w:pPr>
              <w:widowControl/>
              <w:jc w:val="left"/>
              <w:rPr>
                <w:rFonts w:ascii="宋体" w:hAnsi="宋体" w:cs="宋体"/>
                <w:sz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ascii="宋体" w:hAnsi="宋体" w:cs="宋体"/>
                <w:sz w:val="20"/>
              </w:rPr>
              <w:t>商业</w:t>
            </w:r>
          </w:p>
          <w:p>
            <w:pPr>
              <w:widowControl/>
              <w:jc w:val="center"/>
              <w:rPr>
                <w:rFonts w:ascii="宋体" w:hAnsi="宋体" w:cs="宋体"/>
                <w:sz w:val="24"/>
              </w:rPr>
            </w:pPr>
            <w:r>
              <w:rPr>
                <w:rFonts w:hint="eastAsia" w:ascii="宋体" w:hAnsi="宋体" w:cs="宋体"/>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ascii="宋体" w:hAnsi="宋体" w:cs="宋体"/>
                <w:sz w:val="20"/>
              </w:rPr>
              <w:t>科研</w:t>
            </w:r>
          </w:p>
          <w:p>
            <w:pPr>
              <w:widowControl/>
              <w:jc w:val="center"/>
              <w:rPr>
                <w:rFonts w:ascii="宋体" w:hAnsi="宋体" w:cs="宋体"/>
                <w:sz w:val="24"/>
              </w:rPr>
            </w:pPr>
            <w:r>
              <w:rPr>
                <w:rFonts w:hint="eastAsia" w:ascii="宋体" w:hAnsi="宋体" w:cs="宋体"/>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ascii="宋体" w:hAnsi="宋体" w:cs="宋体"/>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ascii="宋体" w:hAnsi="宋体" w:cs="宋体"/>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ascii="宋体" w:hAnsi="宋体" w:cs="宋体"/>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jc w:val="left"/>
              <w:rPr>
                <w:rFonts w:ascii="宋体" w:hAnsi="宋体" w:cs="宋体"/>
                <w:sz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sz w:val="24"/>
              </w:rPr>
            </w:pPr>
            <w:r>
              <w:rPr>
                <w:rFonts w:hint="eastAsia" w:cs="Calibri"/>
                <w:sz w:val="20"/>
              </w:rPr>
              <w:t>0</w:t>
            </w:r>
            <w:r>
              <w:rPr>
                <w:rFonts w:cs="Calibri"/>
                <w:sz w:val="20"/>
              </w:rPr>
              <w:t> </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sz w:val="24"/>
              </w:rPr>
            </w:pPr>
            <w:r>
              <w:rPr>
                <w:rFonts w:hint="eastAsia" w:cs="Calibri"/>
                <w:sz w:val="20"/>
              </w:rPr>
              <w:t>0</w:t>
            </w:r>
            <w:r>
              <w:rPr>
                <w:rFonts w:cs="Calibri"/>
                <w:sz w:val="20"/>
              </w:rPr>
              <w:t> </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（二）部分公开</w:t>
            </w:r>
            <w:r>
              <w:rPr>
                <w:rFonts w:hint="eastAsia" w:ascii="楷体" w:hAnsi="楷体" w:eastAsia="楷体" w:cs="宋体"/>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rPr>
                <w:rFonts w:ascii="宋体" w:hAnsi="宋体" w:cs="宋体"/>
                <w:sz w:val="24"/>
              </w:rPr>
            </w:pPr>
            <w:r>
              <w:rPr>
                <w:rFonts w:hint="eastAsia" w:ascii="宋体" w:hAnsi="宋体" w:cs="宋体"/>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cs="宋体"/>
                <w:sz w:val="24"/>
              </w:rPr>
            </w:pPr>
            <w:r>
              <w:rPr>
                <w:rFonts w:hint="eastAsia" w:ascii="宋体" w:hAnsi="宋体" w:cs="宋体"/>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cs="宋体"/>
                <w:sz w:val="24"/>
              </w:rPr>
            </w:pPr>
            <w:r>
              <w:rPr>
                <w:rFonts w:hint="eastAsia" w:ascii="宋体" w:hAnsi="宋体" w:cs="宋体"/>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bl>
    <w:p>
      <w:pPr>
        <w:ind w:firstLine="600" w:firstLineChars="200"/>
        <w:rPr>
          <w:rFonts w:ascii="黑体" w:hAnsi="黑体" w:eastAsia="黑体"/>
          <w:sz w:val="30"/>
          <w:szCs w:val="30"/>
        </w:rPr>
      </w:pPr>
    </w:p>
    <w:p>
      <w:pPr>
        <w:rPr>
          <w:rFonts w:ascii="黑体" w:hAnsi="黑体" w:eastAsia="黑体"/>
          <w:sz w:val="30"/>
          <w:szCs w:val="30"/>
        </w:rPr>
      </w:pPr>
    </w:p>
    <w:p>
      <w:pPr>
        <w:spacing w:after="156" w:afterLines="50"/>
        <w:ind w:firstLine="640" w:firstLineChars="200"/>
        <w:rPr>
          <w:rFonts w:ascii="黑体" w:hAnsi="黑体" w:eastAsia="黑体"/>
          <w:sz w:val="32"/>
          <w:szCs w:val="32"/>
        </w:rPr>
      </w:pPr>
      <w:r>
        <w:rPr>
          <w:rFonts w:hint="eastAsia" w:ascii="黑体" w:hAnsi="黑体" w:eastAsia="黑体"/>
          <w:sz w:val="32"/>
          <w:szCs w:val="32"/>
        </w:rPr>
        <w:t>四、政府信息公开行政复议、行政诉讼情况</w:t>
      </w:r>
    </w:p>
    <w:tbl>
      <w:tblPr>
        <w:tblStyle w:val="10"/>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行政诉讼</w:t>
            </w:r>
          </w:p>
        </w:tc>
      </w:tr>
      <w:tr>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结果</w:t>
            </w:r>
            <w:r>
              <w:rPr>
                <w:rFonts w:hint="eastAsia" w:ascii="宋体" w:hAnsi="宋体" w:cs="宋体"/>
                <w:sz w:val="20"/>
              </w:rPr>
              <w:br w:type="textWrapping"/>
            </w:r>
            <w:r>
              <w:rPr>
                <w:rFonts w:hint="eastAsia" w:ascii="宋体" w:hAnsi="宋体" w:cs="宋体"/>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其他</w:t>
            </w:r>
            <w:r>
              <w:rPr>
                <w:rFonts w:hint="eastAsia" w:ascii="宋体" w:hAnsi="宋体" w:cs="宋体"/>
                <w:sz w:val="20"/>
              </w:rPr>
              <w:br w:type="textWrapping"/>
            </w:r>
            <w:r>
              <w:rPr>
                <w:rFonts w:hint="eastAsia" w:ascii="宋体" w:hAnsi="宋体" w:cs="宋体"/>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尚未</w:t>
            </w:r>
            <w:r>
              <w:rPr>
                <w:rFonts w:hint="eastAsia" w:ascii="宋体" w:hAnsi="宋体" w:cs="宋体"/>
                <w:sz w:val="20"/>
              </w:rPr>
              <w:br w:type="textWrapping"/>
            </w:r>
            <w:r>
              <w:rPr>
                <w:rFonts w:hint="eastAsia" w:ascii="宋体" w:hAnsi="宋体" w:cs="宋体"/>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结果</w:t>
            </w:r>
            <w:r>
              <w:rPr>
                <w:rFonts w:hint="eastAsia" w:ascii="宋体" w:hAnsi="宋体" w:cs="宋体"/>
                <w:sz w:val="20"/>
              </w:rPr>
              <w:br w:type="textWrapping"/>
            </w:r>
            <w:r>
              <w:rPr>
                <w:rFonts w:hint="eastAsia" w:ascii="宋体" w:hAnsi="宋体" w:cs="宋体"/>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结果</w:t>
            </w:r>
            <w:r>
              <w:rPr>
                <w:rFonts w:hint="eastAsia" w:ascii="宋体" w:hAnsi="宋体" w:cs="宋体"/>
                <w:sz w:val="20"/>
              </w:rPr>
              <w:br w:type="textWrapping"/>
            </w:r>
            <w:r>
              <w:rPr>
                <w:rFonts w:hint="eastAsia" w:ascii="宋体" w:hAnsi="宋体" w:cs="宋体"/>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其他</w:t>
            </w:r>
            <w:r>
              <w:rPr>
                <w:rFonts w:hint="eastAsia" w:ascii="宋体" w:hAnsi="宋体" w:cs="宋体"/>
                <w:sz w:val="20"/>
              </w:rPr>
              <w:br w:type="textWrapping"/>
            </w:r>
            <w:r>
              <w:rPr>
                <w:rFonts w:hint="eastAsia" w:ascii="宋体" w:hAnsi="宋体" w:cs="宋体"/>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尚未</w:t>
            </w:r>
            <w:r>
              <w:rPr>
                <w:rFonts w:hint="eastAsia" w:ascii="宋体" w:hAnsi="宋体" w:cs="宋体"/>
                <w:sz w:val="20"/>
              </w:rPr>
              <w:br w:type="textWrapping"/>
            </w:r>
            <w:r>
              <w:rPr>
                <w:rFonts w:hint="eastAsia" w:ascii="宋体" w:hAnsi="宋体" w:cs="宋体"/>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结果</w:t>
            </w:r>
            <w:r>
              <w:rPr>
                <w:rFonts w:hint="eastAsia" w:ascii="宋体" w:hAnsi="宋体" w:cs="宋体"/>
                <w:sz w:val="20"/>
              </w:rPr>
              <w:br w:type="textWrapping"/>
            </w:r>
            <w:r>
              <w:rPr>
                <w:rFonts w:hint="eastAsia" w:ascii="宋体" w:hAnsi="宋体" w:cs="宋体"/>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结果</w:t>
            </w:r>
            <w:r>
              <w:rPr>
                <w:rFonts w:hint="eastAsia" w:ascii="宋体" w:hAnsi="宋体" w:cs="宋体"/>
                <w:sz w:val="20"/>
              </w:rPr>
              <w:br w:type="textWrapping"/>
            </w:r>
            <w:r>
              <w:rPr>
                <w:rFonts w:hint="eastAsia" w:ascii="宋体" w:hAnsi="宋体" w:cs="宋体"/>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color w:val="000000"/>
                <w:sz w:val="20"/>
              </w:rPr>
              <w:t>其他</w:t>
            </w:r>
            <w:r>
              <w:rPr>
                <w:rFonts w:hint="eastAsia" w:ascii="宋体" w:hAnsi="宋体" w:cs="宋体"/>
                <w:color w:val="000000"/>
                <w:sz w:val="20"/>
              </w:rPr>
              <w:br w:type="textWrapping"/>
            </w:r>
            <w:r>
              <w:rPr>
                <w:rFonts w:hint="eastAsia" w:ascii="宋体" w:hAnsi="宋体" w:cs="宋体"/>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尚未</w:t>
            </w:r>
            <w:r>
              <w:rPr>
                <w:rFonts w:hint="eastAsia" w:ascii="宋体" w:hAnsi="宋体" w:cs="宋体"/>
                <w:sz w:val="20"/>
              </w:rPr>
              <w:br w:type="textWrapping"/>
            </w:r>
            <w:r>
              <w:rPr>
                <w:rFonts w:hint="eastAsia" w:ascii="宋体" w:hAnsi="宋体" w:cs="宋体"/>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color w:val="000000"/>
                <w:sz w:val="20"/>
              </w:rPr>
              <w:t>总计</w:t>
            </w:r>
          </w:p>
        </w:tc>
      </w:tr>
      <w:tr>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0 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0 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0 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sz w:val="24"/>
              </w:rPr>
            </w:pPr>
            <w:r>
              <w:rPr>
                <w:rFonts w:hint="eastAsia" w:ascii="宋体" w:hAnsi="宋体" w:cs="宋体"/>
                <w:sz w:val="24"/>
              </w:rPr>
              <w:t>0</w:t>
            </w:r>
          </w:p>
        </w:tc>
      </w:tr>
    </w:tbl>
    <w:p>
      <w:pPr>
        <w:pStyle w:val="2"/>
        <w:ind w:firstLine="0"/>
      </w:pPr>
    </w:p>
    <w:p>
      <w:pPr>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22"/>
          <w:sz w:val="32"/>
          <w:szCs w:val="32"/>
        </w:rPr>
        <w:t>五、存在的主要问题及改进情况</w:t>
      </w:r>
    </w:p>
    <w:p>
      <w:pPr>
        <w:pStyle w:val="9"/>
        <w:widowControl/>
        <w:spacing w:after="0"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（一）存在问题</w:t>
      </w:r>
    </w:p>
    <w:p>
      <w:pPr>
        <w:pStyle w:val="9"/>
        <w:widowControl/>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是部分主动公开的信息内容滞后，对于是否需要公开、哪些内容需要公开把握不准，对于政府信息咨询服务功能还需要进一步完善。二是信息公开形式相对单一，多以文字、表格为主，缺乏丰富多样、信息化现代化的公开手段。三是信息公开业务内容与相关职能科室对接相对被动，各科室负责相关信息公开（如</w:t>
      </w:r>
      <w:r>
        <w:rPr>
          <w:rFonts w:hint="eastAsia" w:ascii="仿宋_GB2312" w:hAnsi="仿宋_GB2312" w:eastAsia="仿宋_GB2312" w:cs="仿宋_GB2312"/>
          <w:sz w:val="32"/>
          <w:szCs w:val="32"/>
          <w:lang w:eastAsia="zh-CN"/>
        </w:rPr>
        <w:t>“双随机、一公开”</w:t>
      </w:r>
      <w:r>
        <w:rPr>
          <w:rFonts w:hint="eastAsia" w:ascii="仿宋_GB2312" w:hAnsi="仿宋_GB2312" w:eastAsia="仿宋_GB2312" w:cs="仿宋_GB2312"/>
          <w:sz w:val="32"/>
          <w:szCs w:val="32"/>
        </w:rPr>
        <w:t>、疫情防控等）的工作人员的业务素质和能力还需要进一步提高。</w:t>
      </w:r>
    </w:p>
    <w:p>
      <w:pPr>
        <w:pStyle w:val="9"/>
        <w:widowControl/>
        <w:spacing w:after="0"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（二）改进措施</w:t>
      </w:r>
    </w:p>
    <w:p>
      <w:pPr>
        <w:pStyle w:val="9"/>
        <w:widowControl/>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是严格按照“公开为原则，不公开为例外”的总体要求，按时、按需公开主动公开相关内容，特别是疫情防控、健康科普、医疗卫生监管等相关内容的更新并安排专人定期维护，保证公开信息的完整性和准确性。二是认真学习其他省、市、县政务公开优秀案例，积极拓展多种政府信息公开形式。利用直播、多媒体等相关功能探索实施各种方便群众查阅、了解信息的公开方式。三是提高各科室、中心对于政务公开工作的意识，建立符合本单位的规范工作流程。进一步梳理职能科室权责清单与目录表，对原有的公开目录进行补充完善，加强学习和培训，不断提高政府信息公开工作的质量和水平。</w:t>
      </w:r>
    </w:p>
    <w:p>
      <w:pPr>
        <w:spacing w:line="560" w:lineRule="exact"/>
        <w:ind w:firstLine="640" w:firstLineChars="200"/>
        <w:jc w:val="left"/>
        <w:rPr>
          <w:rFonts w:ascii="黑体" w:hAnsi="黑体" w:eastAsia="黑体" w:cs="黑体"/>
          <w:kern w:val="22"/>
          <w:sz w:val="32"/>
          <w:szCs w:val="32"/>
        </w:rPr>
      </w:pPr>
      <w:r>
        <w:rPr>
          <w:rFonts w:hint="eastAsia" w:ascii="黑体" w:hAnsi="黑体" w:eastAsia="黑体" w:cs="黑体"/>
          <w:kern w:val="22"/>
          <w:sz w:val="32"/>
          <w:szCs w:val="32"/>
        </w:rPr>
        <w:t>六、其他需要报告的事项</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（一）收取信息处理费情况</w:t>
      </w:r>
    </w:p>
    <w:p>
      <w:pPr>
        <w:pStyle w:val="9"/>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2021年，本机关依申请公开政府信息未收取任何费用。</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（二）落实上级年度政务公开工作要点情况</w:t>
      </w:r>
    </w:p>
    <w:p>
      <w:pPr>
        <w:pStyle w:val="9"/>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落实《国务院办公厅关于印发2021年政务公开工作要点的通知》（国办发〔2021〕12号）、《山东省人民政府办公厅关于印发2021年山东省政务公开工作要点的通知》（鲁政办发〔2021〕5号）、《淄博市人民政府办公室关于印发2021年淄博市政务公开工作要点的通知》（淄政办字〔2021〕39号）各项规定，制定了《高青县卫生健康局2021年政务公开工作实施方案》，重点做好卫生健康领域信息公开工作，在县政府网站新增设健康科普栏目，集中发布针对妇女、未成年人、老年人等重点人群和农村、工矿企业等重点区域的专项健康科普信息，本年度共发布信息55条。</w:t>
      </w:r>
    </w:p>
    <w:p>
      <w:pPr>
        <w:pStyle w:val="9"/>
        <w:widowControl/>
        <w:spacing w:after="0"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（三）人大代表建议和政协委员提案办理结果公开情况</w:t>
      </w:r>
    </w:p>
    <w:p>
      <w:pPr>
        <w:pStyle w:val="9"/>
        <w:widowControl/>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2021年，共承办县十七届人大五次会议建议3件，承办县政协十四届五次会议提案14件，均在县政府网站建议提案专题集中公开建议提案人、建议提案原文、建议提案办理结果等信息。</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（四）政务公开工作创新情况</w:t>
      </w:r>
    </w:p>
    <w:p>
      <w:pPr>
        <w:pStyle w:val="9"/>
        <w:widowControl/>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做好政府信息专题公开，新开设疫情防控专题，公开发热门诊设置点、疫苗接种单位、核酸检测机构名单，按月公开新冠疫苗接种情况统计，及时本地疫情防控最新通告公开，并结合常态化疫情防控需求进行相关健康知识科普。</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（五）有关数据统计说明</w:t>
      </w:r>
    </w:p>
    <w:p>
      <w:pPr>
        <w:pStyle w:val="9"/>
        <w:widowControl/>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报告中所列数据可能因四舍五入原因与数据直接相加之和存在尾数差异。</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（六）医疗卫生机构信息公开工作开展情况</w:t>
      </w:r>
    </w:p>
    <w:p>
      <w:pPr>
        <w:pStyle w:val="9"/>
        <w:widowControl/>
        <w:spacing w:after="0" w:line="560" w:lineRule="exact"/>
        <w:ind w:firstLine="640" w:firstLineChars="200"/>
        <w:jc w:val="both"/>
        <w:rPr>
          <w:rFonts w:ascii="仿宋_GB2312" w:hAnsi="仿宋" w:eastAsia="仿宋_GB2312" w:cs="仿宋"/>
          <w:sz w:val="32"/>
          <w:szCs w:val="32"/>
        </w:rPr>
      </w:pPr>
      <w:r>
        <w:rPr>
          <w:rFonts w:hint="eastAsia" w:ascii="仿宋_GB2312" w:hAnsi="仿宋_GB2312" w:eastAsia="仿宋_GB2312" w:cs="仿宋_GB2312"/>
          <w:sz w:val="32"/>
          <w:szCs w:val="32"/>
        </w:rPr>
        <w:t>2021年，及时公开县域内公立医疗机构的名称、地址、联系方式及大型设备配备情况，积极推进下属医疗单位信息公开，组织辖区内4家县直医院、9家乡镇（社区街道）卫生院（卫生服务中心）对医疗机构的机构设置、服务流程、坐诊专家、服务时间、应急管理等信息在政务网上进行集中统一公开，共公开信息100余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
    <w:altName w:val="URW Book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A00002BF" w:usb1="38CF7CFA" w:usb2="00082016" w:usb3="00000000" w:csb0="00040001" w:csb1="00000000"/>
  </w:font>
  <w:font w:name="URW Bookman">
    <w:panose1 w:val="00000400000000000000"/>
    <w:charset w:val="00"/>
    <w:family w:val="auto"/>
    <w:pitch w:val="default"/>
    <w:sig w:usb0="00000287" w:usb1="00000800" w:usb2="00000000" w:usb3="00000000" w:csb0="6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7EADD"/>
    <w:multiLevelType w:val="singleLevel"/>
    <w:tmpl w:val="99E7EAD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557"/>
    <w:rsid w:val="00004CF5"/>
    <w:rsid w:val="000101FA"/>
    <w:rsid w:val="00024E42"/>
    <w:rsid w:val="000345B4"/>
    <w:rsid w:val="00035216"/>
    <w:rsid w:val="00061B07"/>
    <w:rsid w:val="0006501F"/>
    <w:rsid w:val="000C22ED"/>
    <w:rsid w:val="000D3D1E"/>
    <w:rsid w:val="000F383D"/>
    <w:rsid w:val="001215E4"/>
    <w:rsid w:val="001551B9"/>
    <w:rsid w:val="00156800"/>
    <w:rsid w:val="00165287"/>
    <w:rsid w:val="001700EA"/>
    <w:rsid w:val="00172237"/>
    <w:rsid w:val="00177AFC"/>
    <w:rsid w:val="00195112"/>
    <w:rsid w:val="00195C7C"/>
    <w:rsid w:val="001A4452"/>
    <w:rsid w:val="001B463C"/>
    <w:rsid w:val="001C2DCD"/>
    <w:rsid w:val="001E256B"/>
    <w:rsid w:val="001E7B38"/>
    <w:rsid w:val="001F3CA4"/>
    <w:rsid w:val="001F3D15"/>
    <w:rsid w:val="001F53D4"/>
    <w:rsid w:val="00203EC3"/>
    <w:rsid w:val="00213531"/>
    <w:rsid w:val="00221CC4"/>
    <w:rsid w:val="002301AF"/>
    <w:rsid w:val="0024441A"/>
    <w:rsid w:val="00244E3E"/>
    <w:rsid w:val="00263B33"/>
    <w:rsid w:val="002B625C"/>
    <w:rsid w:val="002C58DB"/>
    <w:rsid w:val="002E5D54"/>
    <w:rsid w:val="002E67E1"/>
    <w:rsid w:val="002F23C2"/>
    <w:rsid w:val="002F35E4"/>
    <w:rsid w:val="0031159C"/>
    <w:rsid w:val="003441BE"/>
    <w:rsid w:val="003539B4"/>
    <w:rsid w:val="00361762"/>
    <w:rsid w:val="00363DDF"/>
    <w:rsid w:val="0039205B"/>
    <w:rsid w:val="003A230F"/>
    <w:rsid w:val="003A3153"/>
    <w:rsid w:val="003A57D1"/>
    <w:rsid w:val="003B2EF6"/>
    <w:rsid w:val="003C27DE"/>
    <w:rsid w:val="003C3846"/>
    <w:rsid w:val="003E2D20"/>
    <w:rsid w:val="003F52B2"/>
    <w:rsid w:val="003F6FE9"/>
    <w:rsid w:val="004076B3"/>
    <w:rsid w:val="00410A4A"/>
    <w:rsid w:val="004155DE"/>
    <w:rsid w:val="00416BC8"/>
    <w:rsid w:val="004449B9"/>
    <w:rsid w:val="004518C4"/>
    <w:rsid w:val="0045219A"/>
    <w:rsid w:val="00455BE3"/>
    <w:rsid w:val="0045733C"/>
    <w:rsid w:val="00462BD1"/>
    <w:rsid w:val="0046641C"/>
    <w:rsid w:val="0048058E"/>
    <w:rsid w:val="004A2D10"/>
    <w:rsid w:val="004D50F5"/>
    <w:rsid w:val="004E0762"/>
    <w:rsid w:val="004E17C9"/>
    <w:rsid w:val="004E1E7F"/>
    <w:rsid w:val="004E30D9"/>
    <w:rsid w:val="004F0C56"/>
    <w:rsid w:val="005113D1"/>
    <w:rsid w:val="0051560E"/>
    <w:rsid w:val="005274E6"/>
    <w:rsid w:val="005441FD"/>
    <w:rsid w:val="00546499"/>
    <w:rsid w:val="0054791A"/>
    <w:rsid w:val="005520E8"/>
    <w:rsid w:val="00580EA2"/>
    <w:rsid w:val="00592243"/>
    <w:rsid w:val="005930D6"/>
    <w:rsid w:val="005F2577"/>
    <w:rsid w:val="00605185"/>
    <w:rsid w:val="0062262B"/>
    <w:rsid w:val="00622752"/>
    <w:rsid w:val="006373B2"/>
    <w:rsid w:val="006457E7"/>
    <w:rsid w:val="00653E08"/>
    <w:rsid w:val="0066412D"/>
    <w:rsid w:val="00673AB3"/>
    <w:rsid w:val="00681292"/>
    <w:rsid w:val="006854F7"/>
    <w:rsid w:val="006B416F"/>
    <w:rsid w:val="006E0DFF"/>
    <w:rsid w:val="006F1D2B"/>
    <w:rsid w:val="0071110A"/>
    <w:rsid w:val="0071441F"/>
    <w:rsid w:val="0073505F"/>
    <w:rsid w:val="0075631C"/>
    <w:rsid w:val="00773F1C"/>
    <w:rsid w:val="00776A6F"/>
    <w:rsid w:val="0078711F"/>
    <w:rsid w:val="007A1CC6"/>
    <w:rsid w:val="007F701A"/>
    <w:rsid w:val="008074D5"/>
    <w:rsid w:val="00807FE9"/>
    <w:rsid w:val="008226FB"/>
    <w:rsid w:val="0082402B"/>
    <w:rsid w:val="00831B01"/>
    <w:rsid w:val="00843B00"/>
    <w:rsid w:val="008560C3"/>
    <w:rsid w:val="00893EF5"/>
    <w:rsid w:val="008A7057"/>
    <w:rsid w:val="008B43DB"/>
    <w:rsid w:val="008D04B4"/>
    <w:rsid w:val="008E7927"/>
    <w:rsid w:val="008F28A6"/>
    <w:rsid w:val="00904CA4"/>
    <w:rsid w:val="009102B2"/>
    <w:rsid w:val="009160F6"/>
    <w:rsid w:val="009231FA"/>
    <w:rsid w:val="009413F6"/>
    <w:rsid w:val="00973EB1"/>
    <w:rsid w:val="009A72A5"/>
    <w:rsid w:val="009B314C"/>
    <w:rsid w:val="009B6A99"/>
    <w:rsid w:val="009C1854"/>
    <w:rsid w:val="009C7FFB"/>
    <w:rsid w:val="009D0157"/>
    <w:rsid w:val="009E6762"/>
    <w:rsid w:val="00A07E74"/>
    <w:rsid w:val="00A126E1"/>
    <w:rsid w:val="00A17F65"/>
    <w:rsid w:val="00A36890"/>
    <w:rsid w:val="00A40BEE"/>
    <w:rsid w:val="00A43397"/>
    <w:rsid w:val="00A77CA1"/>
    <w:rsid w:val="00A81B6C"/>
    <w:rsid w:val="00AA1919"/>
    <w:rsid w:val="00AA2CFC"/>
    <w:rsid w:val="00AB4557"/>
    <w:rsid w:val="00AE4342"/>
    <w:rsid w:val="00AF0A0B"/>
    <w:rsid w:val="00B03267"/>
    <w:rsid w:val="00B20805"/>
    <w:rsid w:val="00B4577F"/>
    <w:rsid w:val="00B76FE3"/>
    <w:rsid w:val="00BB08FE"/>
    <w:rsid w:val="00BD7155"/>
    <w:rsid w:val="00BE00D7"/>
    <w:rsid w:val="00C0791E"/>
    <w:rsid w:val="00C20AB8"/>
    <w:rsid w:val="00C24168"/>
    <w:rsid w:val="00C32825"/>
    <w:rsid w:val="00C34FCB"/>
    <w:rsid w:val="00C35E2F"/>
    <w:rsid w:val="00C45260"/>
    <w:rsid w:val="00C50B23"/>
    <w:rsid w:val="00C727B3"/>
    <w:rsid w:val="00C83C16"/>
    <w:rsid w:val="00C95677"/>
    <w:rsid w:val="00C9768C"/>
    <w:rsid w:val="00CA1A71"/>
    <w:rsid w:val="00CA3057"/>
    <w:rsid w:val="00CB2E2A"/>
    <w:rsid w:val="00CC518B"/>
    <w:rsid w:val="00D22310"/>
    <w:rsid w:val="00D23448"/>
    <w:rsid w:val="00D54B8B"/>
    <w:rsid w:val="00D6313B"/>
    <w:rsid w:val="00D75309"/>
    <w:rsid w:val="00D77BF0"/>
    <w:rsid w:val="00D821EE"/>
    <w:rsid w:val="00DD499D"/>
    <w:rsid w:val="00DE7F16"/>
    <w:rsid w:val="00DF3350"/>
    <w:rsid w:val="00E151D4"/>
    <w:rsid w:val="00E322B9"/>
    <w:rsid w:val="00ED48D7"/>
    <w:rsid w:val="00ED6409"/>
    <w:rsid w:val="00EE7323"/>
    <w:rsid w:val="00EE7AD5"/>
    <w:rsid w:val="00F2143F"/>
    <w:rsid w:val="00F40E98"/>
    <w:rsid w:val="00F665AB"/>
    <w:rsid w:val="00FB5EF6"/>
    <w:rsid w:val="00FC2F58"/>
    <w:rsid w:val="00FC53FA"/>
    <w:rsid w:val="00FD4423"/>
    <w:rsid w:val="00FD78D3"/>
    <w:rsid w:val="00FE729E"/>
    <w:rsid w:val="00FF041C"/>
    <w:rsid w:val="03D91879"/>
    <w:rsid w:val="099D272B"/>
    <w:rsid w:val="0A457D8A"/>
    <w:rsid w:val="0EAE461F"/>
    <w:rsid w:val="10853A02"/>
    <w:rsid w:val="10B77D5F"/>
    <w:rsid w:val="18D116E7"/>
    <w:rsid w:val="1AF25768"/>
    <w:rsid w:val="20D15AE9"/>
    <w:rsid w:val="20FC7113"/>
    <w:rsid w:val="213470F1"/>
    <w:rsid w:val="21A904C4"/>
    <w:rsid w:val="22845E50"/>
    <w:rsid w:val="26854CAF"/>
    <w:rsid w:val="26C439D0"/>
    <w:rsid w:val="28C64F62"/>
    <w:rsid w:val="2C9948A1"/>
    <w:rsid w:val="2CF62C20"/>
    <w:rsid w:val="2DD239F7"/>
    <w:rsid w:val="34A57FC6"/>
    <w:rsid w:val="37102347"/>
    <w:rsid w:val="3FCF7596"/>
    <w:rsid w:val="405B4204"/>
    <w:rsid w:val="41274875"/>
    <w:rsid w:val="44124462"/>
    <w:rsid w:val="48462D5D"/>
    <w:rsid w:val="4EC06C3C"/>
    <w:rsid w:val="51A86A8E"/>
    <w:rsid w:val="53B5063E"/>
    <w:rsid w:val="63FD5235"/>
    <w:rsid w:val="68596BF8"/>
    <w:rsid w:val="7027297A"/>
    <w:rsid w:val="74A62353"/>
    <w:rsid w:val="75CC52FC"/>
    <w:rsid w:val="7C8507F5"/>
    <w:rsid w:val="7C965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link w:val="15"/>
    <w:qFormat/>
    <w:uiPriority w:val="99"/>
    <w:pPr>
      <w:keepNext/>
      <w:keepLines/>
      <w:spacing w:before="260" w:after="260" w:line="416" w:lineRule="auto"/>
      <w:outlineLvl w:val="2"/>
    </w:pPr>
    <w:rPr>
      <w:rFonts w:ascii="??" w:hAnsi="??" w:cs="??"/>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99"/>
    <w:pPr>
      <w:ind w:firstLine="560"/>
    </w:pPr>
    <w:rPr>
      <w:rFonts w:eastAsia="仿宋_GB2312" w:cs="宋体"/>
      <w:sz w:val="24"/>
      <w:szCs w:val="20"/>
    </w:rPr>
  </w:style>
  <w:style w:type="paragraph" w:styleId="4">
    <w:name w:val="Body Text"/>
    <w:basedOn w:val="1"/>
    <w:link w:val="19"/>
    <w:qFormat/>
    <w:uiPriority w:val="0"/>
    <w:pPr>
      <w:spacing w:after="120"/>
    </w:pPr>
    <w:rPr>
      <w:rFonts w:ascii="Times New Roman" w:hAnsi="Times New Roman" w:eastAsia="仿宋_GB2312" w:cs="仿宋_GB2312"/>
      <w:bCs/>
      <w:sz w:val="32"/>
      <w:szCs w:val="32"/>
    </w:r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footnote text"/>
    <w:basedOn w:val="1"/>
    <w:link w:val="18"/>
    <w:qFormat/>
    <w:uiPriority w:val="99"/>
    <w:pPr>
      <w:snapToGrid w:val="0"/>
      <w:jc w:val="left"/>
    </w:pPr>
    <w:rPr>
      <w:sz w:val="18"/>
      <w:szCs w:val="18"/>
    </w:rPr>
  </w:style>
  <w:style w:type="paragraph" w:styleId="9">
    <w:name w:val="Normal (Web)"/>
    <w:basedOn w:val="1"/>
    <w:qFormat/>
    <w:uiPriority w:val="99"/>
    <w:pPr>
      <w:spacing w:after="150"/>
      <w:jc w:val="left"/>
    </w:pPr>
    <w:rPr>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7"/>
    <w:qFormat/>
    <w:uiPriority w:val="99"/>
    <w:rPr>
      <w:sz w:val="18"/>
      <w:szCs w:val="18"/>
    </w:rPr>
  </w:style>
  <w:style w:type="character" w:customStyle="1" w:styleId="14">
    <w:name w:val="页脚 Char"/>
    <w:basedOn w:val="12"/>
    <w:link w:val="6"/>
    <w:qFormat/>
    <w:uiPriority w:val="99"/>
    <w:rPr>
      <w:sz w:val="18"/>
      <w:szCs w:val="18"/>
    </w:rPr>
  </w:style>
  <w:style w:type="character" w:customStyle="1" w:styleId="15">
    <w:name w:val="标题 3 Char"/>
    <w:basedOn w:val="12"/>
    <w:link w:val="3"/>
    <w:qFormat/>
    <w:uiPriority w:val="99"/>
    <w:rPr>
      <w:rFonts w:ascii="??" w:hAnsi="??" w:eastAsia="宋体" w:cs="??"/>
      <w:b/>
      <w:bCs/>
      <w:sz w:val="32"/>
      <w:szCs w:val="32"/>
    </w:rPr>
  </w:style>
  <w:style w:type="paragraph" w:customStyle="1" w:styleId="16">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
    <w:name w:val="批注框文本 Char"/>
    <w:basedOn w:val="12"/>
    <w:link w:val="5"/>
    <w:semiHidden/>
    <w:qFormat/>
    <w:uiPriority w:val="99"/>
    <w:rPr>
      <w:rFonts w:ascii="Calibri" w:hAnsi="Calibri" w:eastAsia="宋体" w:cs="Times New Roman"/>
      <w:sz w:val="18"/>
      <w:szCs w:val="18"/>
    </w:rPr>
  </w:style>
  <w:style w:type="character" w:customStyle="1" w:styleId="18">
    <w:name w:val="脚注文本 Char"/>
    <w:basedOn w:val="12"/>
    <w:link w:val="8"/>
    <w:qFormat/>
    <w:uiPriority w:val="99"/>
    <w:rPr>
      <w:rFonts w:ascii="Calibri" w:hAnsi="Calibri" w:eastAsia="宋体" w:cs="Times New Roman"/>
      <w:sz w:val="18"/>
      <w:szCs w:val="18"/>
    </w:rPr>
  </w:style>
  <w:style w:type="character" w:customStyle="1" w:styleId="19">
    <w:name w:val="正文文本 Char"/>
    <w:basedOn w:val="12"/>
    <w:link w:val="4"/>
    <w:qFormat/>
    <w:uiPriority w:val="0"/>
    <w:rPr>
      <w:rFonts w:ascii="Times New Roman" w:hAnsi="Times New Roman" w:eastAsia="仿宋_GB2312" w:cs="仿宋_GB2312"/>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8</Pages>
  <Words>3261</Words>
  <Characters>3396</Characters>
  <Lines>28</Lines>
  <Paragraphs>8</Paragraphs>
  <TotalTime>19</TotalTime>
  <ScaleCrop>false</ScaleCrop>
  <LinksUpToDate>false</LinksUpToDate>
  <CharactersWithSpaces>3585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2019-10-14T16:08:00Z</dcterms:created>
  <dc:creator>lb</dc:creator>
  <cp:lastModifiedBy>user</cp:lastModifiedBy>
  <cp:lastPrinted>2020-01-10T10:38:00Z</cp:lastPrinted>
  <dcterms:modified xsi:type="dcterms:W3CDTF">2025-12-01T16:59:55Z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8A25868C17634235A41F9CB5488BF5F4</vt:lpwstr>
  </property>
</Properties>
</file>