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color w:val="auto"/>
        </w:rPr>
      </w:pPr>
      <w:r>
        <w:rPr>
          <w:rFonts w:hint="eastAsia" w:ascii="宋体" w:hAnsi="宋体" w:eastAsia="宋体" w:cs="宋体"/>
          <w:b/>
          <w:bCs w:val="0"/>
          <w:color w:val="auto"/>
          <w:sz w:val="44"/>
          <w:szCs w:val="44"/>
        </w:rPr>
        <w:t>高青县卫生健康局</w:t>
      </w:r>
      <w:r>
        <w:rPr>
          <w:rFonts w:hint="eastAsia" w:ascii="宋体" w:hAnsi="宋体" w:cs="宋体"/>
          <w:b/>
          <w:bCs w:val="0"/>
          <w:color w:val="auto"/>
          <w:sz w:val="44"/>
          <w:szCs w:val="44"/>
          <w:lang w:val="en-US" w:eastAsia="zh-CN"/>
        </w:rPr>
        <w:t>2020年政府</w:t>
      </w:r>
      <w:r>
        <w:rPr>
          <w:rFonts w:hint="eastAsia" w:ascii="宋体" w:hAnsi="宋体" w:eastAsia="宋体" w:cs="宋体"/>
          <w:b/>
          <w:bCs w:val="0"/>
          <w:color w:val="auto"/>
          <w:sz w:val="44"/>
          <w:szCs w:val="44"/>
        </w:rPr>
        <w:t>信息公开工作年度报告</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仿宋"/>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 w:eastAsia="仿宋_GB2312" w:cs="仿宋"/>
          <w:color w:val="auto"/>
          <w:sz w:val="32"/>
          <w:szCs w:val="32"/>
        </w:rPr>
      </w:pPr>
      <w:r>
        <w:rPr>
          <w:rFonts w:hint="eastAsia" w:ascii="仿宋_GB2312" w:hAnsi="仿宋" w:eastAsia="仿宋_GB2312" w:cs="仿宋"/>
          <w:color w:val="auto"/>
          <w:sz w:val="32"/>
          <w:szCs w:val="32"/>
        </w:rPr>
        <w:t>本报告按照《中华人民共和国政府信息公开条例》（</w:t>
      </w:r>
      <w:r>
        <w:rPr>
          <w:rFonts w:hint="eastAsia" w:ascii="仿宋_GB2312" w:hAnsi="仿宋" w:eastAsia="仿宋_GB2312" w:cs="仿宋"/>
          <w:color w:val="auto"/>
          <w:sz w:val="32"/>
          <w:szCs w:val="32"/>
          <w:lang w:eastAsia="zh-CN"/>
        </w:rPr>
        <w:t>国务院令第</w:t>
      </w:r>
      <w:r>
        <w:rPr>
          <w:rFonts w:hint="eastAsia" w:ascii="仿宋_GB2312" w:hAnsi="仿宋" w:eastAsia="仿宋_GB2312" w:cs="仿宋"/>
          <w:color w:val="auto"/>
          <w:sz w:val="32"/>
          <w:szCs w:val="32"/>
          <w:lang w:val="en-US" w:eastAsia="zh-CN"/>
        </w:rPr>
        <w:t>711号，</w:t>
      </w:r>
      <w:r>
        <w:rPr>
          <w:rFonts w:hint="eastAsia" w:ascii="仿宋_GB2312" w:hAnsi="仿宋" w:eastAsia="仿宋_GB2312" w:cs="仿宋"/>
          <w:color w:val="auto"/>
          <w:sz w:val="32"/>
          <w:szCs w:val="32"/>
        </w:rPr>
        <w:t>以下简称《条例》）和《山东省政府信息公开办法》（以下简称《办法》）</w:t>
      </w:r>
      <w:r>
        <w:rPr>
          <w:rFonts w:hint="eastAsia" w:ascii="仿宋_GB2312" w:hAnsi="仿宋" w:eastAsia="仿宋_GB2312" w:cs="仿宋"/>
          <w:color w:val="auto"/>
          <w:sz w:val="32"/>
          <w:szCs w:val="32"/>
          <w:lang w:eastAsia="zh-CN"/>
        </w:rPr>
        <w:t>要求</w:t>
      </w:r>
      <w:r>
        <w:rPr>
          <w:rFonts w:hint="eastAsia" w:ascii="仿宋_GB2312" w:hAnsi="仿宋" w:eastAsia="仿宋_GB2312" w:cs="仿宋"/>
          <w:color w:val="auto"/>
          <w:sz w:val="32"/>
          <w:szCs w:val="32"/>
        </w:rPr>
        <w:t>，由高青县卫生健康局根据本年度政府信息公开工作情况编制。</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outlineLvl w:val="0"/>
        <w:rPr>
          <w:rFonts w:ascii="仿宋_GB2312" w:hAnsi="仿宋" w:eastAsia="仿宋_GB2312" w:cs="仿宋"/>
          <w:color w:val="auto"/>
          <w:sz w:val="32"/>
          <w:szCs w:val="32"/>
        </w:rPr>
      </w:pPr>
      <w:r>
        <w:rPr>
          <w:rFonts w:hint="eastAsia" w:ascii="仿宋_GB2312" w:hAnsi="仿宋" w:eastAsia="仿宋_GB2312" w:cs="仿宋"/>
          <w:color w:val="auto"/>
          <w:sz w:val="32"/>
          <w:szCs w:val="32"/>
        </w:rPr>
        <w:t>报告全文由总体情况，主动公开政府信息情况，收到和处理政府信息公开申请情况，政府信息公开行政复议、行政诉讼情况，存在的主要问题及改进情况，其他需要报告的事项6个部分组成。</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olor w:val="auto"/>
          <w:kern w:val="22"/>
          <w:sz w:val="32"/>
          <w:szCs w:val="32"/>
        </w:rPr>
      </w:pPr>
      <w:r>
        <w:rPr>
          <w:rFonts w:hint="eastAsia" w:ascii="仿宋_GB2312" w:hAnsi="仿宋" w:eastAsia="仿宋_GB2312" w:cs="仿宋"/>
          <w:color w:val="auto"/>
          <w:sz w:val="32"/>
          <w:szCs w:val="32"/>
        </w:rPr>
        <w:t>报告中所列数据统计期限自20</w:t>
      </w:r>
      <w:r>
        <w:rPr>
          <w:rFonts w:hint="eastAsia" w:ascii="仿宋_GB2312" w:hAnsi="仿宋" w:eastAsia="仿宋_GB2312" w:cs="仿宋"/>
          <w:color w:val="auto"/>
          <w:sz w:val="32"/>
          <w:szCs w:val="32"/>
          <w:lang w:val="en-US" w:eastAsia="zh-CN"/>
        </w:rPr>
        <w:t>20</w:t>
      </w:r>
      <w:r>
        <w:rPr>
          <w:rFonts w:hint="eastAsia" w:ascii="仿宋_GB2312" w:hAnsi="仿宋" w:eastAsia="仿宋_GB2312" w:cs="仿宋"/>
          <w:color w:val="auto"/>
          <w:sz w:val="32"/>
          <w:szCs w:val="32"/>
        </w:rPr>
        <w:t>年1月1日始，至20</w:t>
      </w:r>
      <w:r>
        <w:rPr>
          <w:rFonts w:hint="eastAsia" w:ascii="仿宋_GB2312" w:hAnsi="仿宋" w:eastAsia="仿宋_GB2312" w:cs="仿宋"/>
          <w:color w:val="auto"/>
          <w:sz w:val="32"/>
          <w:szCs w:val="32"/>
          <w:lang w:val="en-US" w:eastAsia="zh-CN"/>
        </w:rPr>
        <w:t>20</w:t>
      </w:r>
      <w:r>
        <w:rPr>
          <w:rFonts w:hint="eastAsia" w:ascii="仿宋_GB2312" w:hAnsi="仿宋" w:eastAsia="仿宋_GB2312" w:cs="仿宋"/>
          <w:color w:val="auto"/>
          <w:sz w:val="32"/>
          <w:szCs w:val="32"/>
        </w:rPr>
        <w:t>年12月31日止。报告电子版可在高青县人民政府门户网站（www.gaoqing.gov.cn）查阅和下载。如对报告内容有疑问，</w:t>
      </w:r>
      <w:r>
        <w:rPr>
          <w:rFonts w:hint="eastAsia" w:ascii="Times New Roman" w:hAnsi="Times New Roman" w:eastAsia="仿宋_GB2312"/>
          <w:color w:val="auto"/>
          <w:kern w:val="22"/>
          <w:sz w:val="32"/>
          <w:szCs w:val="32"/>
        </w:rPr>
        <w:t>请与高青县</w:t>
      </w:r>
      <w:r>
        <w:rPr>
          <w:rFonts w:hint="eastAsia" w:ascii="Times New Roman" w:hAnsi="Times New Roman" w:eastAsia="仿宋_GB2312"/>
          <w:color w:val="auto"/>
          <w:kern w:val="22"/>
          <w:sz w:val="32"/>
          <w:szCs w:val="32"/>
          <w:lang w:eastAsia="zh-CN"/>
        </w:rPr>
        <w:t>卫生健康局</w:t>
      </w:r>
      <w:r>
        <w:rPr>
          <w:rFonts w:hint="eastAsia" w:ascii="Times New Roman" w:hAnsi="Times New Roman" w:eastAsia="仿宋_GB2312"/>
          <w:color w:val="auto"/>
          <w:kern w:val="22"/>
          <w:sz w:val="32"/>
          <w:szCs w:val="32"/>
        </w:rPr>
        <w:t>办公室联系（地址：高青县城清河路5号；邮编：256300；电话：0533-6961556；传真：0533-6961556）。</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ascii="黑体" w:hAnsi="黑体" w:eastAsia="黑体"/>
          <w:color w:val="auto"/>
          <w:kern w:val="22"/>
          <w:sz w:val="32"/>
          <w:szCs w:val="32"/>
        </w:rPr>
      </w:pPr>
      <w:r>
        <w:rPr>
          <w:rFonts w:hint="eastAsia" w:ascii="黑体" w:hAnsi="黑体" w:eastAsia="黑体"/>
          <w:color w:val="auto"/>
          <w:kern w:val="22"/>
          <w:sz w:val="32"/>
          <w:szCs w:val="32"/>
        </w:rPr>
        <w:t>一、总体情况</w:t>
      </w:r>
    </w:p>
    <w:p>
      <w:pPr>
        <w:pStyle w:val="9"/>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ascii="Times New Roman" w:hAnsi="Times New Roman" w:eastAsia="仿宋_GB2312"/>
          <w:color w:val="auto"/>
          <w:kern w:val="22"/>
          <w:sz w:val="32"/>
          <w:szCs w:val="32"/>
        </w:rPr>
      </w:pPr>
      <w:r>
        <w:rPr>
          <w:rFonts w:hint="eastAsia" w:ascii="Times New Roman" w:hAnsi="Times New Roman" w:eastAsia="仿宋_GB2312"/>
          <w:color w:val="auto"/>
          <w:kern w:val="22"/>
          <w:sz w:val="32"/>
          <w:szCs w:val="32"/>
        </w:rPr>
        <w:t>20</w:t>
      </w:r>
      <w:r>
        <w:rPr>
          <w:rFonts w:hint="eastAsia" w:ascii="Times New Roman" w:hAnsi="Times New Roman" w:eastAsia="仿宋_GB2312"/>
          <w:color w:val="auto"/>
          <w:kern w:val="22"/>
          <w:sz w:val="32"/>
          <w:szCs w:val="32"/>
          <w:lang w:val="en-US" w:eastAsia="zh-CN"/>
        </w:rPr>
        <w:t>20</w:t>
      </w:r>
      <w:r>
        <w:rPr>
          <w:rFonts w:hint="eastAsia" w:ascii="Times New Roman" w:hAnsi="Times New Roman" w:eastAsia="仿宋_GB2312"/>
          <w:color w:val="auto"/>
          <w:kern w:val="22"/>
          <w:sz w:val="32"/>
          <w:szCs w:val="32"/>
        </w:rPr>
        <w:t>年，高青县卫生健康局紧紧围绕县委、县政府中心工作及群众关注关切，深化重点领域信息公开，完善政务公开制度建设，坚持以公开为常态、不公开为例外，推动行政权力全过程公开、公共服务全流程公开、社会关切全方位回应，切实提高群众满意度、获得感。</w:t>
      </w:r>
    </w:p>
    <w:p>
      <w:pPr>
        <w:pStyle w:val="9"/>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ascii="Arial" w:hAnsi="Arial" w:cs="Arial"/>
          <w:color w:val="auto"/>
          <w:sz w:val="19"/>
          <w:szCs w:val="19"/>
        </w:rPr>
      </w:pPr>
      <w:r>
        <w:rPr>
          <w:rFonts w:hint="eastAsia" w:ascii="楷体_GB2312" w:hAnsi="Times New Roman" w:eastAsia="楷体_GB2312"/>
          <w:color w:val="auto"/>
          <w:kern w:val="22"/>
          <w:sz w:val="32"/>
          <w:szCs w:val="32"/>
        </w:rPr>
        <w:t>（一）</w:t>
      </w:r>
      <w:r>
        <w:rPr>
          <w:rFonts w:hint="eastAsia" w:ascii="楷体_GB2312" w:hAnsi="Times New Roman" w:eastAsia="楷体_GB2312"/>
          <w:color w:val="auto"/>
          <w:kern w:val="22"/>
          <w:sz w:val="32"/>
          <w:szCs w:val="32"/>
          <w:lang w:eastAsia="zh-CN"/>
        </w:rPr>
        <w:t>体制机制建设</w:t>
      </w:r>
    </w:p>
    <w:p>
      <w:pPr>
        <w:pStyle w:val="9"/>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kern w:val="22"/>
          <w:sz w:val="32"/>
          <w:szCs w:val="32"/>
        </w:rPr>
      </w:pPr>
      <w:r>
        <w:rPr>
          <w:rFonts w:hint="eastAsia" w:ascii="仿宋" w:hAnsi="仿宋" w:eastAsia="仿宋" w:cs="仿宋"/>
          <w:color w:val="auto"/>
          <w:kern w:val="22"/>
          <w:sz w:val="32"/>
          <w:szCs w:val="32"/>
          <w:lang w:eastAsia="zh-CN"/>
        </w:rPr>
        <w:t>县卫生健康</w:t>
      </w:r>
      <w:r>
        <w:rPr>
          <w:rFonts w:hint="eastAsia" w:ascii="仿宋" w:hAnsi="仿宋" w:eastAsia="仿宋" w:cs="仿宋"/>
          <w:color w:val="auto"/>
          <w:kern w:val="22"/>
          <w:sz w:val="32"/>
          <w:szCs w:val="32"/>
        </w:rPr>
        <w:t>局</w:t>
      </w:r>
      <w:r>
        <w:rPr>
          <w:rFonts w:hint="eastAsia" w:ascii="仿宋" w:hAnsi="仿宋" w:eastAsia="仿宋" w:cs="仿宋"/>
          <w:color w:val="auto"/>
          <w:kern w:val="22"/>
          <w:sz w:val="32"/>
          <w:szCs w:val="32"/>
          <w:lang w:eastAsia="zh-CN"/>
        </w:rPr>
        <w:t>各级</w:t>
      </w:r>
      <w:r>
        <w:rPr>
          <w:rFonts w:hint="eastAsia" w:ascii="仿宋" w:hAnsi="仿宋" w:eastAsia="仿宋" w:cs="仿宋"/>
          <w:color w:val="auto"/>
          <w:kern w:val="22"/>
          <w:sz w:val="32"/>
          <w:szCs w:val="32"/>
        </w:rPr>
        <w:t>领导高度重视政府信息公开工作，</w:t>
      </w:r>
      <w:r>
        <w:rPr>
          <w:rFonts w:hint="eastAsia" w:ascii="仿宋" w:hAnsi="仿宋" w:eastAsia="仿宋" w:cs="仿宋"/>
          <w:b w:val="0"/>
          <w:bCs w:val="0"/>
          <w:color w:val="auto"/>
          <w:kern w:val="0"/>
          <w:sz w:val="32"/>
          <w:szCs w:val="32"/>
          <w:lang w:val="en-US" w:eastAsia="zh-CN"/>
        </w:rPr>
        <w:t>组织</w:t>
      </w:r>
      <w:r>
        <w:rPr>
          <w:rFonts w:hint="eastAsia" w:ascii="仿宋" w:hAnsi="仿宋" w:eastAsia="仿宋" w:cs="仿宋"/>
          <w:b w:val="0"/>
          <w:bCs w:val="0"/>
          <w:i w:val="0"/>
          <w:caps w:val="0"/>
          <w:color w:val="auto"/>
          <w:spacing w:val="0"/>
          <w:sz w:val="32"/>
          <w:szCs w:val="32"/>
        </w:rPr>
        <w:t>召开全县卫生健康系统信息宣传政务公开工作暨通讯员培训会议</w:t>
      </w:r>
      <w:r>
        <w:rPr>
          <w:rFonts w:hint="eastAsia" w:ascii="仿宋" w:hAnsi="仿宋" w:eastAsia="仿宋" w:cs="仿宋"/>
          <w:b w:val="0"/>
          <w:bCs w:val="0"/>
          <w:i w:val="0"/>
          <w:caps w:val="0"/>
          <w:color w:val="auto"/>
          <w:spacing w:val="0"/>
          <w:sz w:val="32"/>
          <w:szCs w:val="32"/>
          <w:lang w:eastAsia="zh-CN"/>
        </w:rPr>
        <w:t>。</w:t>
      </w:r>
      <w:r>
        <w:rPr>
          <w:rFonts w:hint="eastAsia" w:ascii="仿宋" w:hAnsi="仿宋" w:eastAsia="仿宋" w:cs="仿宋"/>
          <w:i w:val="0"/>
          <w:caps w:val="0"/>
          <w:color w:val="auto"/>
          <w:spacing w:val="0"/>
          <w:sz w:val="32"/>
          <w:szCs w:val="32"/>
          <w:lang w:eastAsia="zh-CN"/>
        </w:rPr>
        <w:t>局机关分管领导及科室负责人、相关</w:t>
      </w:r>
      <w:r>
        <w:rPr>
          <w:rFonts w:hint="eastAsia" w:ascii="仿宋" w:hAnsi="仿宋" w:eastAsia="仿宋" w:cs="仿宋"/>
          <w:i w:val="0"/>
          <w:caps w:val="0"/>
          <w:color w:val="auto"/>
          <w:spacing w:val="0"/>
          <w:sz w:val="32"/>
          <w:szCs w:val="32"/>
        </w:rPr>
        <w:t>单位宣传通讯员及负责政务公开的同志</w:t>
      </w:r>
      <w:r>
        <w:rPr>
          <w:rFonts w:hint="eastAsia" w:ascii="仿宋" w:hAnsi="仿宋" w:eastAsia="仿宋" w:cs="仿宋"/>
          <w:i w:val="0"/>
          <w:caps w:val="0"/>
          <w:color w:val="auto"/>
          <w:spacing w:val="0"/>
          <w:sz w:val="32"/>
          <w:szCs w:val="32"/>
          <w:lang w:eastAsia="zh-CN"/>
        </w:rPr>
        <w:t>共计</w:t>
      </w:r>
      <w:r>
        <w:rPr>
          <w:rFonts w:hint="eastAsia" w:ascii="仿宋" w:hAnsi="仿宋" w:eastAsia="仿宋" w:cs="仿宋"/>
          <w:i w:val="0"/>
          <w:caps w:val="0"/>
          <w:color w:val="auto"/>
          <w:spacing w:val="0"/>
          <w:sz w:val="32"/>
          <w:szCs w:val="32"/>
          <w:lang w:val="en-US" w:eastAsia="zh-CN"/>
        </w:rPr>
        <w:t>30余人</w:t>
      </w:r>
      <w:r>
        <w:rPr>
          <w:rFonts w:hint="eastAsia" w:ascii="仿宋" w:hAnsi="仿宋" w:eastAsia="仿宋" w:cs="仿宋"/>
          <w:i w:val="0"/>
          <w:caps w:val="0"/>
          <w:color w:val="auto"/>
          <w:spacing w:val="0"/>
          <w:sz w:val="32"/>
          <w:szCs w:val="32"/>
          <w:lang w:eastAsia="zh-CN"/>
        </w:rPr>
        <w:t>参加</w:t>
      </w:r>
      <w:r>
        <w:rPr>
          <w:rFonts w:hint="eastAsia" w:ascii="仿宋" w:hAnsi="仿宋" w:eastAsia="仿宋" w:cs="仿宋"/>
          <w:i w:val="0"/>
          <w:caps w:val="0"/>
          <w:color w:val="auto"/>
          <w:spacing w:val="0"/>
          <w:sz w:val="32"/>
          <w:szCs w:val="32"/>
        </w:rPr>
        <w:t>培训</w:t>
      </w:r>
      <w:r>
        <w:rPr>
          <w:rFonts w:hint="eastAsia" w:ascii="仿宋" w:hAnsi="仿宋" w:eastAsia="仿宋" w:cs="仿宋"/>
          <w:i w:val="0"/>
          <w:caps w:val="0"/>
          <w:color w:val="auto"/>
          <w:spacing w:val="0"/>
          <w:sz w:val="32"/>
          <w:szCs w:val="32"/>
          <w:lang w:eastAsia="zh-CN"/>
        </w:rPr>
        <w:t>，</w:t>
      </w:r>
      <w:r>
        <w:rPr>
          <w:rFonts w:hint="eastAsia" w:ascii="仿宋" w:hAnsi="仿宋" w:eastAsia="仿宋" w:cs="仿宋"/>
          <w:color w:val="auto"/>
          <w:kern w:val="22"/>
          <w:sz w:val="32"/>
          <w:szCs w:val="32"/>
        </w:rPr>
        <w:t>建立了“主要领导亲自抓、分管领导具体抓、各科室各司其职，办公室协调办理”的领导体制和工作机制。调整充实了政府信息公开领导小组，由主要领导担任领导小组组长，班子其他成员为副组长，相关科室负责人为成员，并由一名分管领导兼任领导小组办公室主任。各科室负责人对本科室的信息公开工作负责，做到有领导分管、有工作人员负责，建立健全了工作机制，为做好政府信息公开工作提供了组织保障，确保了我局信息公开工作的顺利开展。</w:t>
      </w:r>
    </w:p>
    <w:p>
      <w:pPr>
        <w:pStyle w:val="9"/>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ascii="仿宋" w:hAnsi="仿宋" w:eastAsia="仿宋" w:cs="仿宋"/>
          <w:color w:val="auto"/>
          <w:kern w:val="22"/>
          <w:sz w:val="32"/>
          <w:szCs w:val="32"/>
          <w:lang w:eastAsia="zh-CN"/>
        </w:rPr>
      </w:pPr>
      <w:r>
        <w:rPr>
          <w:rFonts w:hint="eastAsia" w:ascii="仿宋" w:hAnsi="仿宋" w:eastAsia="仿宋" w:cs="仿宋"/>
          <w:color w:val="auto"/>
          <w:kern w:val="22"/>
          <w:sz w:val="32"/>
          <w:szCs w:val="32"/>
          <w:lang w:eastAsia="zh-CN"/>
        </w:rPr>
        <w:drawing>
          <wp:inline distT="0" distB="0" distL="114300" distR="114300">
            <wp:extent cx="5272405" cy="3491865"/>
            <wp:effectExtent l="0" t="0" r="4445" b="13335"/>
            <wp:docPr id="1" name="图片 1" descr="DSC_8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SC_8003"/>
                    <pic:cNvPicPr>
                      <a:picLocks noChangeAspect="1"/>
                    </pic:cNvPicPr>
                  </pic:nvPicPr>
                  <pic:blipFill>
                    <a:blip r:embed="rId4"/>
                    <a:stretch>
                      <a:fillRect/>
                    </a:stretch>
                  </pic:blipFill>
                  <pic:spPr>
                    <a:xfrm>
                      <a:off x="0" y="0"/>
                      <a:ext cx="5272405" cy="3491865"/>
                    </a:xfrm>
                    <a:prstGeom prst="rect">
                      <a:avLst/>
                    </a:prstGeom>
                  </pic:spPr>
                </pic:pic>
              </a:graphicData>
            </a:graphic>
          </wp:inline>
        </w:drawing>
      </w:r>
    </w:p>
    <w:p>
      <w:pPr>
        <w:pStyle w:val="9"/>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color w:val="auto"/>
          <w:kern w:val="22"/>
          <w:sz w:val="32"/>
          <w:szCs w:val="32"/>
        </w:rPr>
      </w:pPr>
      <w:r>
        <w:rPr>
          <w:rFonts w:ascii="楷体_GB2312" w:hAnsi="Times New Roman" w:eastAsia="楷体_GB2312"/>
          <w:color w:val="auto"/>
          <w:kern w:val="22"/>
          <w:sz w:val="32"/>
          <w:szCs w:val="32"/>
        </w:rPr>
        <w:t>（二）</w:t>
      </w:r>
      <w:r>
        <w:rPr>
          <w:rFonts w:hint="eastAsia" w:ascii="楷体_GB2312" w:hAnsi="Times New Roman" w:eastAsia="楷体_GB2312"/>
          <w:color w:val="auto"/>
          <w:kern w:val="22"/>
          <w:sz w:val="32"/>
          <w:szCs w:val="32"/>
          <w:lang w:eastAsia="zh-CN"/>
        </w:rPr>
        <w:t>主动公开</w:t>
      </w:r>
      <w:r>
        <w:rPr>
          <w:rFonts w:ascii="Times New Roman" w:hAnsi="Times New Roman" w:eastAsia="仿宋_GB2312"/>
          <w:color w:val="auto"/>
          <w:kern w:val="22"/>
          <w:sz w:val="32"/>
          <w:szCs w:val="32"/>
        </w:rPr>
        <w:t>　　</w:t>
      </w:r>
    </w:p>
    <w:p>
      <w:pPr>
        <w:pStyle w:val="9"/>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Times New Roman" w:hAnsi="Times New Roman" w:eastAsia="仿宋_GB2312"/>
          <w:color w:val="auto"/>
          <w:kern w:val="22"/>
          <w:sz w:val="32"/>
          <w:szCs w:val="32"/>
        </w:rPr>
      </w:pPr>
      <w:r>
        <w:rPr>
          <w:rFonts w:ascii="Times New Roman" w:hAnsi="Times New Roman" w:eastAsia="仿宋_GB2312"/>
          <w:color w:val="auto"/>
          <w:kern w:val="22"/>
          <w:sz w:val="32"/>
          <w:szCs w:val="32"/>
        </w:rPr>
        <w:t>我局严格按照政府信息公开工作相关规章制度开展工作。</w:t>
      </w:r>
      <w:r>
        <w:rPr>
          <w:rFonts w:hint="eastAsia" w:ascii="Times New Roman" w:hAnsi="Times New Roman" w:eastAsia="仿宋_GB2312"/>
          <w:color w:val="auto"/>
          <w:kern w:val="22"/>
          <w:sz w:val="32"/>
          <w:szCs w:val="32"/>
        </w:rPr>
        <w:t>制定了《高青县卫生健康局政府信息公开基本目录》，通过政府网站、政府信息查阅场所、信息告知栏等渠道和方式，主动向社会进行了公开。</w:t>
      </w:r>
    </w:p>
    <w:p>
      <w:pPr>
        <w:pStyle w:val="9"/>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Times New Roman" w:hAnsi="Times New Roman" w:eastAsia="仿宋_GB2312"/>
          <w:color w:val="auto"/>
          <w:kern w:val="22"/>
          <w:sz w:val="32"/>
          <w:szCs w:val="32"/>
        </w:rPr>
      </w:pPr>
      <w:r>
        <w:rPr>
          <w:rFonts w:hint="eastAsia" w:ascii="Times New Roman" w:hAnsi="Times New Roman" w:eastAsia="仿宋_GB2312"/>
          <w:color w:val="auto"/>
          <w:kern w:val="22"/>
          <w:sz w:val="32"/>
          <w:szCs w:val="32"/>
          <w:lang w:eastAsia="zh-CN"/>
        </w:rPr>
        <w:t>一是</w:t>
      </w:r>
      <w:r>
        <w:rPr>
          <w:rFonts w:hint="eastAsia" w:ascii="仿宋_GB2312" w:eastAsia="仿宋_GB2312"/>
          <w:color w:val="auto"/>
          <w:sz w:val="32"/>
          <w:szCs w:val="32"/>
        </w:rPr>
        <w:t>在县政府网站“建议提案办理”栏目主动公开人大代表建议和政协委员提案办理情况。20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年主动公开本单位承办的</w:t>
      </w:r>
      <w:r>
        <w:rPr>
          <w:rFonts w:hint="eastAsia" w:ascii="仿宋_GB2312" w:eastAsia="仿宋_GB2312"/>
          <w:color w:val="auto"/>
          <w:sz w:val="32"/>
          <w:szCs w:val="32"/>
          <w:lang w:eastAsia="zh-CN"/>
        </w:rPr>
        <w:t>县十七届二次、三次、四次</w:t>
      </w:r>
      <w:r>
        <w:rPr>
          <w:rFonts w:hint="eastAsia" w:ascii="仿宋_GB2312" w:eastAsia="仿宋_GB2312"/>
          <w:color w:val="auto"/>
          <w:sz w:val="32"/>
          <w:szCs w:val="32"/>
        </w:rPr>
        <w:t>人大代表</w:t>
      </w:r>
      <w:r>
        <w:rPr>
          <w:rFonts w:hint="eastAsia" w:ascii="仿宋_GB2312" w:eastAsia="仿宋_GB2312"/>
          <w:color w:val="auto"/>
          <w:sz w:val="32"/>
          <w:szCs w:val="32"/>
          <w:lang w:eastAsia="zh-CN"/>
        </w:rPr>
        <w:t>会议</w:t>
      </w:r>
      <w:r>
        <w:rPr>
          <w:rFonts w:hint="eastAsia" w:ascii="仿宋_GB2312" w:eastAsia="仿宋_GB2312"/>
          <w:color w:val="auto"/>
          <w:sz w:val="32"/>
          <w:szCs w:val="32"/>
        </w:rPr>
        <w:t>建议</w:t>
      </w:r>
      <w:r>
        <w:rPr>
          <w:rFonts w:hint="eastAsia" w:ascii="仿宋_GB2312" w:eastAsia="仿宋_GB2312"/>
          <w:color w:val="auto"/>
          <w:sz w:val="32"/>
          <w:szCs w:val="32"/>
          <w:lang w:eastAsia="zh-CN"/>
        </w:rPr>
        <w:t>共</w:t>
      </w:r>
      <w:r>
        <w:rPr>
          <w:rFonts w:hint="eastAsia" w:ascii="仿宋_GB2312" w:eastAsia="仿宋_GB2312"/>
          <w:color w:val="auto"/>
          <w:sz w:val="32"/>
          <w:szCs w:val="32"/>
          <w:lang w:val="en-US" w:eastAsia="zh-CN"/>
        </w:rPr>
        <w:t>14项，县</w:t>
      </w:r>
      <w:r>
        <w:rPr>
          <w:rFonts w:hint="eastAsia" w:ascii="仿宋_GB2312" w:eastAsia="仿宋_GB2312"/>
          <w:color w:val="auto"/>
          <w:sz w:val="32"/>
          <w:szCs w:val="32"/>
          <w:lang w:eastAsia="zh-CN"/>
        </w:rPr>
        <w:t>十七届二次、三次、四次</w:t>
      </w:r>
      <w:r>
        <w:rPr>
          <w:rFonts w:hint="eastAsia" w:ascii="仿宋_GB2312" w:eastAsia="仿宋_GB2312"/>
          <w:color w:val="auto"/>
          <w:sz w:val="32"/>
          <w:szCs w:val="32"/>
        </w:rPr>
        <w:t>政协委员</w:t>
      </w:r>
      <w:r>
        <w:rPr>
          <w:rFonts w:hint="eastAsia" w:ascii="仿宋_GB2312" w:eastAsia="仿宋_GB2312"/>
          <w:color w:val="auto"/>
          <w:sz w:val="32"/>
          <w:szCs w:val="32"/>
          <w:lang w:eastAsia="zh-CN"/>
        </w:rPr>
        <w:t>会议</w:t>
      </w:r>
      <w:r>
        <w:rPr>
          <w:rFonts w:hint="eastAsia" w:ascii="仿宋_GB2312" w:eastAsia="仿宋_GB2312"/>
          <w:color w:val="auto"/>
          <w:sz w:val="32"/>
          <w:szCs w:val="32"/>
        </w:rPr>
        <w:t>提案</w:t>
      </w:r>
      <w:r>
        <w:rPr>
          <w:rFonts w:hint="eastAsia" w:ascii="仿宋_GB2312" w:eastAsia="仿宋_GB2312"/>
          <w:color w:val="auto"/>
          <w:sz w:val="32"/>
          <w:szCs w:val="32"/>
          <w:lang w:eastAsia="zh-CN"/>
        </w:rPr>
        <w:t>共</w:t>
      </w:r>
      <w:r>
        <w:rPr>
          <w:rFonts w:hint="eastAsia" w:ascii="仿宋_GB2312" w:eastAsia="仿宋_GB2312"/>
          <w:color w:val="auto"/>
          <w:sz w:val="32"/>
          <w:szCs w:val="32"/>
          <w:lang w:val="en-US" w:eastAsia="zh-CN"/>
        </w:rPr>
        <w:t>14项，</w:t>
      </w:r>
      <w:r>
        <w:rPr>
          <w:rFonts w:hint="eastAsia" w:ascii="仿宋_GB2312" w:eastAsia="仿宋_GB2312"/>
          <w:color w:val="auto"/>
          <w:sz w:val="32"/>
          <w:szCs w:val="32"/>
        </w:rPr>
        <w:t>对涉及公共利益、公众权益、社会关切及需要社会广泛知晓的建议和提案办理复文全文予以公开。</w:t>
      </w:r>
      <w:r>
        <w:rPr>
          <w:rFonts w:hint="eastAsia" w:ascii="仿宋" w:hAnsi="仿宋" w:eastAsia="仿宋" w:cs="仿宋"/>
          <w:color w:val="auto"/>
          <w:sz w:val="32"/>
          <w:szCs w:val="32"/>
          <w:lang w:eastAsia="zh-CN"/>
        </w:rPr>
        <w:t>二是</w:t>
      </w:r>
      <w:r>
        <w:rPr>
          <w:rFonts w:hint="eastAsia" w:ascii="仿宋" w:hAnsi="仿宋" w:eastAsia="仿宋" w:cs="仿宋"/>
          <w:color w:val="auto"/>
          <w:sz w:val="32"/>
          <w:szCs w:val="32"/>
        </w:rPr>
        <w:t>按照国家</w:t>
      </w:r>
      <w:r>
        <w:rPr>
          <w:rFonts w:hint="eastAsia" w:ascii="仿宋" w:hAnsi="仿宋" w:eastAsia="仿宋" w:cs="仿宋"/>
          <w:color w:val="auto"/>
          <w:sz w:val="32"/>
          <w:szCs w:val="32"/>
          <w:lang w:val="en-US" w:eastAsia="zh-CN"/>
        </w:rPr>
        <w:t>2020</w:t>
      </w:r>
      <w:r>
        <w:rPr>
          <w:rFonts w:hint="eastAsia" w:ascii="仿宋" w:hAnsi="仿宋" w:eastAsia="仿宋" w:cs="仿宋"/>
          <w:color w:val="auto"/>
          <w:sz w:val="32"/>
          <w:szCs w:val="32"/>
        </w:rPr>
        <w:t>年卫生计生随机监督抽检工作安排，县卫生计生</w:t>
      </w:r>
      <w:r>
        <w:rPr>
          <w:rFonts w:hint="eastAsia" w:ascii="仿宋" w:hAnsi="仿宋" w:eastAsia="仿宋" w:cs="仿宋"/>
          <w:color w:val="auto"/>
          <w:sz w:val="32"/>
          <w:szCs w:val="32"/>
          <w:lang w:eastAsia="zh-CN"/>
        </w:rPr>
        <w:t>监督执法大队</w:t>
      </w:r>
      <w:r>
        <w:rPr>
          <w:rFonts w:hint="eastAsia" w:ascii="仿宋" w:hAnsi="仿宋" w:eastAsia="仿宋" w:cs="仿宋"/>
          <w:color w:val="auto"/>
          <w:sz w:val="32"/>
          <w:szCs w:val="32"/>
        </w:rPr>
        <w:t>对全县被抽查对象进行重点监督和抽检，并及时将“双随机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一公开”监督抽查情况及处理结果公示。年内公示2次。公开县卫生健康局“双随机</w:t>
      </w:r>
      <w:r>
        <w:rPr>
          <w:rFonts w:hint="eastAsia" w:ascii="仿宋" w:hAnsi="仿宋" w:eastAsia="仿宋" w:cs="仿宋"/>
          <w:color w:val="auto"/>
          <w:sz w:val="32"/>
          <w:szCs w:val="32"/>
          <w:lang w:eastAsia="zh-CN"/>
        </w:rPr>
        <w:t>、</w:t>
      </w:r>
      <w:bookmarkStart w:id="0" w:name="_GoBack"/>
      <w:bookmarkEnd w:id="0"/>
      <w:r>
        <w:rPr>
          <w:rFonts w:hint="eastAsia" w:ascii="仿宋" w:hAnsi="仿宋" w:eastAsia="仿宋" w:cs="仿宋"/>
          <w:color w:val="auto"/>
          <w:sz w:val="32"/>
          <w:szCs w:val="32"/>
        </w:rPr>
        <w:t>一公开”目录清单，及时准确向社会公开随机抽查事项、抽查频次等信息。</w:t>
      </w:r>
      <w:r>
        <w:rPr>
          <w:rFonts w:hint="eastAsia" w:ascii="仿宋" w:hAnsi="仿宋" w:eastAsia="仿宋" w:cs="仿宋"/>
          <w:color w:val="auto"/>
          <w:sz w:val="32"/>
          <w:szCs w:val="32"/>
          <w:lang w:eastAsia="zh-CN"/>
        </w:rPr>
        <w:t>年内对行政执法事项（包含</w:t>
      </w:r>
      <w:r>
        <w:rPr>
          <w:rFonts w:hint="eastAsia" w:ascii="仿宋" w:hAnsi="仿宋" w:eastAsia="仿宋" w:cs="仿宋"/>
          <w:color w:val="auto"/>
          <w:sz w:val="32"/>
          <w:szCs w:val="32"/>
        </w:rPr>
        <w:t>执法事项、执法依据、执法范围、监督方式</w:t>
      </w:r>
      <w:r>
        <w:rPr>
          <w:rFonts w:hint="eastAsia" w:ascii="仿宋" w:hAnsi="仿宋" w:eastAsia="仿宋" w:cs="仿宋"/>
          <w:color w:val="auto"/>
          <w:sz w:val="32"/>
          <w:szCs w:val="32"/>
          <w:lang w:eastAsia="zh-CN"/>
        </w:rPr>
        <w:t>）等公开发布</w:t>
      </w:r>
      <w:r>
        <w:rPr>
          <w:rFonts w:hint="eastAsia" w:ascii="仿宋" w:hAnsi="仿宋" w:eastAsia="仿宋" w:cs="仿宋"/>
          <w:color w:val="auto"/>
          <w:sz w:val="32"/>
          <w:szCs w:val="32"/>
          <w:lang w:val="en-US" w:eastAsia="zh-CN"/>
        </w:rPr>
        <w:t>5条信息，公开行政执法服务指南、行政执法人员资格清单与执法流程图；按时公开报送2020年行政执法统计年报。三是</w:t>
      </w:r>
      <w:r>
        <w:rPr>
          <w:rFonts w:hint="eastAsia" w:ascii="仿宋" w:hAnsi="仿宋" w:eastAsia="仿宋" w:cs="仿宋"/>
          <w:color w:val="auto"/>
          <w:sz w:val="32"/>
          <w:szCs w:val="32"/>
        </w:rPr>
        <w:t>年内</w:t>
      </w:r>
      <w:r>
        <w:rPr>
          <w:rFonts w:hint="eastAsia" w:ascii="仿宋" w:hAnsi="仿宋" w:eastAsia="仿宋" w:cs="仿宋"/>
          <w:color w:val="auto"/>
          <w:sz w:val="32"/>
          <w:szCs w:val="32"/>
          <w:lang w:eastAsia="zh-CN"/>
        </w:rPr>
        <w:t>按季度</w:t>
      </w:r>
      <w:r>
        <w:rPr>
          <w:rFonts w:hint="eastAsia" w:ascii="仿宋" w:hAnsi="仿宋" w:eastAsia="仿宋" w:cs="仿宋"/>
          <w:color w:val="auto"/>
          <w:sz w:val="32"/>
          <w:szCs w:val="32"/>
        </w:rPr>
        <w:t>公开高青县管网末梢水质监测情况4次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现制现售饮用水卫生监督抽检结果公示</w:t>
      </w:r>
      <w:r>
        <w:rPr>
          <w:rFonts w:hint="eastAsia" w:ascii="仿宋" w:hAnsi="仿宋" w:eastAsia="仿宋" w:cs="仿宋"/>
          <w:color w:val="auto"/>
          <w:sz w:val="32"/>
          <w:szCs w:val="32"/>
          <w:lang w:val="en-US" w:eastAsia="zh-CN"/>
        </w:rPr>
        <w:t>1次。</w:t>
      </w:r>
      <w:r>
        <w:rPr>
          <w:rFonts w:hint="eastAsia" w:ascii="仿宋" w:hAnsi="仿宋" w:eastAsia="仿宋" w:cs="仿宋"/>
          <w:color w:val="auto"/>
          <w:sz w:val="32"/>
          <w:szCs w:val="32"/>
          <w:lang w:eastAsia="zh-CN"/>
        </w:rPr>
        <w:t>四是</w:t>
      </w:r>
      <w:r>
        <w:rPr>
          <w:rFonts w:hint="eastAsia" w:ascii="仿宋" w:hAnsi="仿宋" w:eastAsia="仿宋" w:cs="仿宋"/>
          <w:color w:val="auto"/>
          <w:sz w:val="32"/>
          <w:szCs w:val="32"/>
        </w:rPr>
        <w:t>及时公开高青县老年人高龄津贴服</w:t>
      </w:r>
      <w:r>
        <w:rPr>
          <w:rFonts w:hint="eastAsia" w:ascii="仿宋" w:hAnsi="仿宋" w:eastAsia="仿宋" w:cs="仿宋"/>
          <w:color w:val="auto"/>
          <w:sz w:val="32"/>
          <w:szCs w:val="32"/>
          <w:lang w:eastAsia="zh-CN"/>
        </w:rPr>
        <w:t>发放情况</w:t>
      </w:r>
      <w:r>
        <w:rPr>
          <w:rFonts w:hint="eastAsia" w:ascii="仿宋" w:hAnsi="仿宋" w:eastAsia="仿宋" w:cs="仿宋"/>
          <w:color w:val="auto"/>
          <w:sz w:val="32"/>
          <w:szCs w:val="32"/>
          <w:lang w:val="en-US" w:eastAsia="zh-CN"/>
        </w:rPr>
        <w:t>15条信息，并</w:t>
      </w:r>
      <w:r>
        <w:rPr>
          <w:rFonts w:hint="eastAsia" w:ascii="仿宋" w:hAnsi="仿宋" w:eastAsia="仿宋" w:cs="仿宋"/>
          <w:color w:val="auto"/>
          <w:sz w:val="32"/>
          <w:szCs w:val="32"/>
        </w:rPr>
        <w:t>将服务对象、享受标准、申办流程、申请资料等信息通过政务网进行公开。</w:t>
      </w:r>
      <w:r>
        <w:rPr>
          <w:rFonts w:hint="eastAsia" w:ascii="仿宋" w:hAnsi="仿宋" w:eastAsia="仿宋" w:cs="仿宋"/>
          <w:color w:val="auto"/>
          <w:sz w:val="32"/>
          <w:szCs w:val="32"/>
          <w:lang w:eastAsia="zh-CN"/>
        </w:rPr>
        <w:t>五是</w:t>
      </w:r>
      <w:r>
        <w:rPr>
          <w:rFonts w:hint="eastAsia" w:ascii="仿宋" w:hAnsi="仿宋" w:eastAsia="仿宋" w:cs="仿宋"/>
          <w:color w:val="auto"/>
          <w:sz w:val="32"/>
          <w:szCs w:val="32"/>
        </w:rPr>
        <w:t>及时公开县域内公立医疗机构的名称、地址、联系方式及大型设备配备情况，积极推进下属医疗单位信息公开，组织辖区内</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家县直医院、</w:t>
      </w:r>
      <w:r>
        <w:rPr>
          <w:rFonts w:hint="eastAsia" w:ascii="仿宋" w:hAnsi="仿宋" w:eastAsia="仿宋" w:cs="仿宋"/>
          <w:color w:val="auto"/>
          <w:sz w:val="32"/>
          <w:szCs w:val="32"/>
          <w:lang w:val="en-US" w:eastAsia="zh-CN"/>
        </w:rPr>
        <w:t>9家乡镇（社区街道）卫生院（卫生服务中心）</w:t>
      </w:r>
      <w:r>
        <w:rPr>
          <w:rFonts w:hint="eastAsia" w:ascii="仿宋" w:hAnsi="仿宋" w:eastAsia="仿宋" w:cs="仿宋"/>
          <w:color w:val="auto"/>
          <w:sz w:val="32"/>
          <w:szCs w:val="32"/>
        </w:rPr>
        <w:t>对医疗机构的机构设置、服务流程、坐诊专家、服务时间、应急管理等信息在政务网上进行集中统一公开，共公开信息</w:t>
      </w:r>
      <w:r>
        <w:rPr>
          <w:rFonts w:hint="eastAsia" w:ascii="仿宋" w:hAnsi="仿宋" w:eastAsia="仿宋" w:cs="仿宋"/>
          <w:color w:val="auto"/>
          <w:sz w:val="32"/>
          <w:szCs w:val="32"/>
          <w:lang w:val="en-US" w:eastAsia="zh-CN"/>
        </w:rPr>
        <w:t>155</w:t>
      </w:r>
      <w:r>
        <w:rPr>
          <w:rFonts w:hint="eastAsia" w:ascii="仿宋" w:hAnsi="仿宋" w:eastAsia="仿宋" w:cs="仿宋"/>
          <w:color w:val="auto"/>
          <w:sz w:val="32"/>
          <w:szCs w:val="32"/>
        </w:rPr>
        <w:t>条。</w:t>
      </w:r>
      <w:r>
        <w:rPr>
          <w:rFonts w:hint="eastAsia" w:ascii="仿宋" w:hAnsi="仿宋" w:eastAsia="仿宋" w:cs="仿宋"/>
          <w:color w:val="auto"/>
          <w:sz w:val="32"/>
          <w:szCs w:val="32"/>
          <w:lang w:eastAsia="zh-CN"/>
        </w:rPr>
        <w:t>六是及时公开</w:t>
      </w:r>
      <w:r>
        <w:rPr>
          <w:rFonts w:hint="eastAsia" w:ascii="仿宋" w:hAnsi="仿宋" w:eastAsia="仿宋" w:cs="仿宋"/>
          <w:color w:val="auto"/>
          <w:sz w:val="32"/>
          <w:szCs w:val="32"/>
          <w:lang w:val="en-US" w:eastAsia="zh-CN"/>
        </w:rPr>
        <w:t>抗击新冠疫情社会捐赠款物公示与审计报告4条。</w:t>
      </w:r>
    </w:p>
    <w:p>
      <w:pPr>
        <w:pStyle w:val="9"/>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textAlignment w:val="auto"/>
        <w:rPr>
          <w:rFonts w:hint="eastAsia" w:ascii="楷体_GB2312" w:hAnsi="Times New Roman" w:eastAsia="楷体_GB2312"/>
          <w:color w:val="auto"/>
          <w:kern w:val="22"/>
          <w:sz w:val="32"/>
          <w:szCs w:val="32"/>
        </w:rPr>
      </w:pPr>
      <w:r>
        <w:rPr>
          <w:rFonts w:hint="eastAsia" w:ascii="楷体_GB2312" w:hAnsi="Times New Roman" w:eastAsia="楷体_GB2312"/>
          <w:color w:val="auto"/>
          <w:kern w:val="22"/>
          <w:sz w:val="32"/>
          <w:szCs w:val="32"/>
        </w:rPr>
        <w:t>（三）</w:t>
      </w:r>
      <w:r>
        <w:rPr>
          <w:rFonts w:hint="eastAsia" w:ascii="楷体_GB2312" w:hAnsi="Times New Roman" w:eastAsia="楷体_GB2312"/>
          <w:color w:val="auto"/>
          <w:kern w:val="22"/>
          <w:sz w:val="32"/>
          <w:szCs w:val="32"/>
          <w:lang w:eastAsia="zh-CN"/>
        </w:rPr>
        <w:t>依申请公开</w:t>
      </w:r>
    </w:p>
    <w:p>
      <w:pPr>
        <w:pStyle w:val="9"/>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1.收到和处理政府信息公开申请情况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748" w:firstLineChars="200"/>
        <w:jc w:val="both"/>
        <w:textAlignment w:val="auto"/>
        <w:rPr>
          <w:rFonts w:hint="default" w:ascii="仿宋" w:hAnsi="仿宋" w:eastAsia="仿宋"/>
          <w:color w:val="auto"/>
          <w:sz w:val="32"/>
          <w:szCs w:val="32"/>
          <w:lang w:val="en-US" w:eastAsia="zh-CN"/>
        </w:rPr>
      </w:pPr>
      <w:r>
        <w:rPr>
          <w:rFonts w:hint="eastAsia" w:ascii="仿宋" w:hAnsi="仿宋" w:eastAsia="仿宋" w:cs="仿宋"/>
          <w:b w:val="0"/>
          <w:i w:val="0"/>
          <w:caps w:val="0"/>
          <w:color w:val="auto"/>
          <w:spacing w:val="27"/>
          <w:sz w:val="32"/>
          <w:szCs w:val="32"/>
          <w:shd w:val="clear" w:color="auto" w:fill="auto"/>
          <w:lang w:val="en-US" w:eastAsia="zh-CN"/>
        </w:rPr>
        <w:t>2020年，</w:t>
      </w:r>
      <w:r>
        <w:rPr>
          <w:rFonts w:hint="eastAsia" w:ascii="仿宋" w:hAnsi="仿宋" w:eastAsia="仿宋" w:cs="仿宋"/>
          <w:b w:val="0"/>
          <w:i w:val="0"/>
          <w:caps w:val="0"/>
          <w:color w:val="auto"/>
          <w:spacing w:val="27"/>
          <w:sz w:val="32"/>
          <w:szCs w:val="32"/>
          <w:shd w:val="clear" w:color="auto" w:fill="auto"/>
          <w:lang w:eastAsia="zh-CN"/>
        </w:rPr>
        <w:t>我单位共收到</w:t>
      </w:r>
      <w:r>
        <w:rPr>
          <w:rFonts w:hint="eastAsia" w:ascii="仿宋" w:hAnsi="仿宋" w:eastAsia="仿宋" w:cs="仿宋"/>
          <w:b w:val="0"/>
          <w:i w:val="0"/>
          <w:caps w:val="0"/>
          <w:color w:val="auto"/>
          <w:spacing w:val="27"/>
          <w:sz w:val="32"/>
          <w:szCs w:val="32"/>
          <w:shd w:val="clear" w:color="auto" w:fill="auto"/>
        </w:rPr>
        <w:t>政府信息公开申请数总计0项</w:t>
      </w:r>
      <w:r>
        <w:rPr>
          <w:rFonts w:hint="eastAsia" w:ascii="仿宋" w:hAnsi="仿宋" w:eastAsia="仿宋" w:cs="仿宋"/>
          <w:b w:val="0"/>
          <w:i w:val="0"/>
          <w:caps w:val="0"/>
          <w:color w:val="auto"/>
          <w:spacing w:val="27"/>
          <w:sz w:val="32"/>
          <w:szCs w:val="32"/>
          <w:shd w:val="clear" w:color="auto" w:fill="auto"/>
          <w:lang w:eastAsia="zh-CN"/>
        </w:rPr>
        <w:t>，按时办结数</w:t>
      </w:r>
      <w:r>
        <w:rPr>
          <w:rFonts w:hint="eastAsia" w:ascii="仿宋" w:hAnsi="仿宋" w:eastAsia="仿宋" w:cs="仿宋"/>
          <w:b w:val="0"/>
          <w:i w:val="0"/>
          <w:caps w:val="0"/>
          <w:color w:val="auto"/>
          <w:spacing w:val="27"/>
          <w:sz w:val="32"/>
          <w:szCs w:val="32"/>
          <w:shd w:val="clear" w:color="auto" w:fill="auto"/>
          <w:lang w:val="en-US" w:eastAsia="zh-CN"/>
        </w:rPr>
        <w:t>0件，</w:t>
      </w:r>
      <w:r>
        <w:rPr>
          <w:rFonts w:hint="eastAsia" w:ascii="仿宋" w:hAnsi="仿宋" w:eastAsia="仿宋" w:cs="仿宋"/>
          <w:b w:val="0"/>
          <w:i w:val="0"/>
          <w:caps w:val="0"/>
          <w:color w:val="auto"/>
          <w:spacing w:val="27"/>
          <w:sz w:val="32"/>
          <w:szCs w:val="32"/>
          <w:shd w:val="clear" w:color="auto" w:fill="auto"/>
        </w:rPr>
        <w:t>结转下年度继续办理0项</w:t>
      </w:r>
      <w:r>
        <w:rPr>
          <w:rFonts w:hint="eastAsia" w:ascii="仿宋" w:hAnsi="仿宋" w:eastAsia="仿宋" w:cs="仿宋"/>
          <w:b w:val="0"/>
          <w:i w:val="0"/>
          <w:caps w:val="0"/>
          <w:color w:val="auto"/>
          <w:spacing w:val="27"/>
          <w:sz w:val="32"/>
          <w:szCs w:val="32"/>
          <w:shd w:val="clear" w:color="auto" w:fill="auto"/>
          <w:lang w:eastAsia="zh-CN"/>
        </w:rPr>
        <w:t>。</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Chars="0"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2.收费和减免情况</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Chars="0"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2020年，我单位在政府信息哦公开申请办理过程中，未收取任何费用。</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Chars="0"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3.政府信息公开行政复议、行政诉讼情况</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Chars="0" w:firstLine="640" w:firstLineChars="200"/>
        <w:textAlignment w:val="auto"/>
        <w:rPr>
          <w:rFonts w:hint="default" w:ascii="仿宋_GB2312" w:hAnsi="仿宋_GB2312" w:eastAsia="仿宋_GB2312" w:cs="仿宋_GB2312"/>
          <w:color w:val="auto"/>
          <w:sz w:val="32"/>
          <w:szCs w:val="32"/>
          <w:lang w:val="en-US"/>
        </w:rPr>
      </w:pPr>
      <w:r>
        <w:rPr>
          <w:rFonts w:hint="eastAsia" w:ascii="仿宋" w:hAnsi="仿宋" w:eastAsia="仿宋"/>
          <w:color w:val="auto"/>
          <w:sz w:val="32"/>
          <w:szCs w:val="32"/>
          <w:lang w:val="en-US" w:eastAsia="zh-CN"/>
        </w:rPr>
        <w:t>2020年，本单位因政府信息公开被申请行政公开行政复议0件，行政诉讼0件。</w:t>
      </w:r>
    </w:p>
    <w:p>
      <w:pPr>
        <w:pStyle w:val="9"/>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楷体" w:hAnsi="楷体" w:eastAsia="楷体" w:cs="楷体"/>
          <w:color w:val="auto"/>
          <w:kern w:val="22"/>
          <w:sz w:val="32"/>
          <w:szCs w:val="32"/>
          <w:lang w:eastAsia="zh-CN"/>
        </w:rPr>
      </w:pPr>
      <w:r>
        <w:rPr>
          <w:rFonts w:hint="eastAsia" w:ascii="楷体" w:hAnsi="楷体" w:eastAsia="楷体" w:cs="楷体"/>
          <w:color w:val="auto"/>
          <w:kern w:val="22"/>
          <w:sz w:val="32"/>
          <w:szCs w:val="32"/>
        </w:rPr>
        <w:t>（四）</w:t>
      </w:r>
      <w:r>
        <w:rPr>
          <w:rFonts w:hint="eastAsia" w:ascii="楷体" w:hAnsi="楷体" w:eastAsia="楷体" w:cs="楷体"/>
          <w:color w:val="auto"/>
          <w:kern w:val="22"/>
          <w:sz w:val="32"/>
          <w:szCs w:val="32"/>
          <w:lang w:eastAsia="zh-CN"/>
        </w:rPr>
        <w:t>政府信息管理</w:t>
      </w:r>
    </w:p>
    <w:p>
      <w:pPr>
        <w:pStyle w:val="9"/>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kern w:val="22"/>
          <w:sz w:val="32"/>
          <w:szCs w:val="32"/>
          <w:lang w:eastAsia="zh-CN"/>
        </w:rPr>
      </w:pPr>
      <w:r>
        <w:rPr>
          <w:rFonts w:hint="eastAsia" w:ascii="仿宋" w:hAnsi="仿宋" w:eastAsia="仿宋" w:cs="仿宋"/>
          <w:color w:val="auto"/>
          <w:kern w:val="22"/>
          <w:sz w:val="32"/>
          <w:szCs w:val="32"/>
          <w:lang w:eastAsia="zh-CN"/>
        </w:rPr>
        <w:t>加强政府信息管理。建立健全信息收集、审查、处理机制。根据政府信息公开审查机制，严格执行“先审查，后公开”“一事一审”原则及保密审查要求，经审查依法应当公开的事项，及时准确向社会公开，确保政府信息规范管理。</w:t>
      </w:r>
    </w:p>
    <w:p>
      <w:pPr>
        <w:pStyle w:val="9"/>
        <w:keepNext w:val="0"/>
        <w:keepLines w:val="0"/>
        <w:pageBreakBefore w:val="0"/>
        <w:widowControl/>
        <w:numPr>
          <w:ilvl w:val="0"/>
          <w:numId w:val="1"/>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楷体" w:hAnsi="楷体" w:eastAsia="楷体" w:cs="楷体"/>
          <w:color w:val="auto"/>
          <w:kern w:val="22"/>
          <w:sz w:val="32"/>
          <w:szCs w:val="32"/>
          <w:lang w:eastAsia="zh-CN"/>
        </w:rPr>
      </w:pPr>
      <w:r>
        <w:rPr>
          <w:rFonts w:hint="eastAsia" w:ascii="楷体" w:hAnsi="楷体" w:eastAsia="楷体" w:cs="楷体"/>
          <w:color w:val="auto"/>
          <w:kern w:val="22"/>
          <w:sz w:val="32"/>
          <w:szCs w:val="32"/>
          <w:lang w:eastAsia="zh-CN"/>
        </w:rPr>
        <w:t>平台建设</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kern w:val="0"/>
          <w:sz w:val="32"/>
          <w:szCs w:val="32"/>
          <w:shd w:val="clear" w:color="auto" w:fill="auto"/>
          <w:lang w:eastAsia="zh-CN"/>
        </w:rPr>
      </w:pPr>
      <w:r>
        <w:rPr>
          <w:rFonts w:hint="eastAsia" w:ascii="仿宋" w:hAnsi="仿宋" w:eastAsia="仿宋" w:cs="仿宋"/>
          <w:color w:val="auto"/>
          <w:kern w:val="22"/>
          <w:sz w:val="32"/>
          <w:szCs w:val="32"/>
          <w:lang w:eastAsia="zh-CN"/>
        </w:rPr>
        <w:t>完善平台畅通公开渠道。组织认真做好高青政务网门户网站信息公开平台相关板块的信息发布维护工作，落实专人负责，定期发布信息，加强微信公众号的常态化管理，做到信息内容及时更新，保障栏目更新频率。同时，我单位积极组织</w:t>
      </w:r>
      <w:r>
        <w:rPr>
          <w:rFonts w:hint="eastAsia" w:ascii="仿宋" w:hAnsi="仿宋" w:eastAsia="仿宋" w:cs="仿宋"/>
          <w:b w:val="0"/>
          <w:bCs w:val="0"/>
          <w:color w:val="auto"/>
          <w:kern w:val="0"/>
          <w:sz w:val="32"/>
          <w:szCs w:val="32"/>
        </w:rPr>
        <w:t>组织开展“政府开放日”暨“市民代表看医疗卫生变化”活动</w:t>
      </w:r>
      <w:r>
        <w:rPr>
          <w:rFonts w:hint="eastAsia" w:ascii="仿宋" w:hAnsi="仿宋" w:eastAsia="仿宋" w:cs="仿宋"/>
          <w:b w:val="0"/>
          <w:bCs w:val="0"/>
          <w:color w:val="auto"/>
          <w:kern w:val="0"/>
          <w:sz w:val="32"/>
          <w:szCs w:val="32"/>
          <w:lang w:eastAsia="zh-CN"/>
        </w:rPr>
        <w:t>；</w:t>
      </w:r>
      <w:r>
        <w:rPr>
          <w:rFonts w:hint="eastAsia" w:ascii="仿宋" w:hAnsi="仿宋" w:eastAsia="仿宋" w:cs="仿宋"/>
          <w:color w:val="auto"/>
          <w:kern w:val="0"/>
          <w:sz w:val="32"/>
          <w:szCs w:val="32"/>
          <w:lang w:val="en-US" w:eastAsia="zh-CN"/>
        </w:rPr>
        <w:t>开展“群众满意度提升宣传月”活动。</w:t>
      </w:r>
      <w:r>
        <w:rPr>
          <w:rFonts w:hint="eastAsia" w:ascii="仿宋" w:hAnsi="仿宋" w:eastAsia="仿宋" w:cs="仿宋"/>
          <w:color w:val="auto"/>
          <w:kern w:val="0"/>
          <w:sz w:val="32"/>
          <w:szCs w:val="32"/>
          <w:shd w:val="clear" w:color="auto" w:fill="auto"/>
        </w:rPr>
        <w:t>通过开展出院患者院科两级回访、上门入户走访、完善</w:t>
      </w:r>
      <w:r>
        <w:rPr>
          <w:rFonts w:hint="eastAsia" w:ascii="仿宋" w:hAnsi="仿宋" w:eastAsia="仿宋" w:cs="仿宋"/>
          <w:color w:val="auto"/>
          <w:kern w:val="0"/>
          <w:sz w:val="32"/>
          <w:szCs w:val="32"/>
          <w:shd w:val="clear" w:color="auto" w:fill="auto"/>
          <w:lang w:eastAsia="zh-CN"/>
        </w:rPr>
        <w:t>卫健系统政务公开</w:t>
      </w:r>
      <w:r>
        <w:rPr>
          <w:rFonts w:hint="eastAsia" w:ascii="仿宋" w:hAnsi="仿宋" w:eastAsia="仿宋" w:cs="仿宋"/>
          <w:color w:val="auto"/>
          <w:kern w:val="0"/>
          <w:sz w:val="32"/>
          <w:szCs w:val="32"/>
          <w:shd w:val="clear" w:color="auto" w:fill="auto"/>
        </w:rPr>
        <w:t>投诉受理机制等</w:t>
      </w:r>
      <w:r>
        <w:rPr>
          <w:rFonts w:hint="eastAsia" w:ascii="仿宋" w:hAnsi="仿宋" w:eastAsia="仿宋" w:cs="仿宋"/>
          <w:color w:val="auto"/>
          <w:kern w:val="0"/>
          <w:sz w:val="32"/>
          <w:szCs w:val="32"/>
          <w:shd w:val="clear" w:color="auto" w:fill="auto"/>
          <w:lang w:eastAsia="zh-CN"/>
        </w:rPr>
        <w:t>。</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240" w:lineRule="auto"/>
        <w:jc w:val="both"/>
        <w:textAlignment w:val="auto"/>
        <w:rPr>
          <w:rFonts w:hint="eastAsia" w:ascii="仿宋" w:hAnsi="仿宋" w:eastAsia="仿宋" w:cs="仿宋"/>
          <w:color w:val="auto"/>
          <w:kern w:val="0"/>
          <w:sz w:val="32"/>
          <w:szCs w:val="32"/>
          <w:shd w:val="clear" w:color="auto" w:fill="auto"/>
          <w:lang w:eastAsia="zh-CN"/>
        </w:rPr>
      </w:pPr>
      <w:r>
        <w:rPr>
          <w:rFonts w:hint="eastAsia" w:ascii="仿宋" w:hAnsi="仿宋" w:eastAsia="仿宋" w:cs="仿宋"/>
          <w:color w:val="auto"/>
          <w:kern w:val="0"/>
          <w:sz w:val="32"/>
          <w:szCs w:val="32"/>
          <w:shd w:val="clear" w:color="auto" w:fill="auto"/>
          <w:lang w:eastAsia="zh-CN"/>
        </w:rPr>
        <w:drawing>
          <wp:inline distT="0" distB="0" distL="114300" distR="114300">
            <wp:extent cx="5272405" cy="3312160"/>
            <wp:effectExtent l="0" t="0" r="4445" b="2540"/>
            <wp:docPr id="5" name="图片 5" descr="DSC_8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SC_8929"/>
                    <pic:cNvPicPr>
                      <a:picLocks noChangeAspect="1"/>
                    </pic:cNvPicPr>
                  </pic:nvPicPr>
                  <pic:blipFill>
                    <a:blip r:embed="rId5"/>
                    <a:stretch>
                      <a:fillRect/>
                    </a:stretch>
                  </pic:blipFill>
                  <pic:spPr>
                    <a:xfrm>
                      <a:off x="0" y="0"/>
                      <a:ext cx="5272405" cy="3312160"/>
                    </a:xfrm>
                    <a:prstGeom prst="rect">
                      <a:avLst/>
                    </a:prstGeom>
                  </pic:spPr>
                </pic:pic>
              </a:graphicData>
            </a:graphic>
          </wp:inline>
        </w:drawing>
      </w:r>
      <w:r>
        <w:rPr>
          <w:rFonts w:hint="eastAsia" w:ascii="仿宋" w:hAnsi="仿宋" w:eastAsia="仿宋" w:cs="仿宋"/>
          <w:color w:val="auto"/>
          <w:kern w:val="0"/>
          <w:sz w:val="32"/>
          <w:szCs w:val="32"/>
          <w:shd w:val="clear" w:color="auto" w:fill="auto"/>
          <w:lang w:eastAsia="zh-CN"/>
        </w:rPr>
        <w:drawing>
          <wp:inline distT="0" distB="0" distL="114300" distR="114300">
            <wp:extent cx="5272405" cy="3344545"/>
            <wp:effectExtent l="0" t="0" r="4445" b="8255"/>
            <wp:docPr id="4" name="图片 4" descr="DSC_9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SC_9244"/>
                    <pic:cNvPicPr>
                      <a:picLocks noChangeAspect="1"/>
                    </pic:cNvPicPr>
                  </pic:nvPicPr>
                  <pic:blipFill>
                    <a:blip r:embed="rId6"/>
                    <a:stretch>
                      <a:fillRect/>
                    </a:stretch>
                  </pic:blipFill>
                  <pic:spPr>
                    <a:xfrm>
                      <a:off x="0" y="0"/>
                      <a:ext cx="5272405" cy="3344545"/>
                    </a:xfrm>
                    <a:prstGeom prst="rect">
                      <a:avLst/>
                    </a:prstGeom>
                  </pic:spPr>
                </pic:pic>
              </a:graphicData>
            </a:graphic>
          </wp:inline>
        </w:drawing>
      </w:r>
      <w:r>
        <w:rPr>
          <w:rFonts w:hint="eastAsia" w:ascii="仿宋" w:hAnsi="仿宋" w:eastAsia="仿宋" w:cs="仿宋"/>
          <w:color w:val="auto"/>
          <w:kern w:val="0"/>
          <w:sz w:val="32"/>
          <w:szCs w:val="32"/>
          <w:shd w:val="clear" w:color="auto" w:fill="auto"/>
          <w:lang w:eastAsia="zh-CN"/>
        </w:rPr>
        <w:drawing>
          <wp:inline distT="0" distB="0" distL="114300" distR="114300">
            <wp:extent cx="5272405" cy="3491865"/>
            <wp:effectExtent l="0" t="0" r="4445" b="13335"/>
            <wp:docPr id="3" name="图片 3" descr="DSC_9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SC_9377"/>
                    <pic:cNvPicPr>
                      <a:picLocks noChangeAspect="1"/>
                    </pic:cNvPicPr>
                  </pic:nvPicPr>
                  <pic:blipFill>
                    <a:blip r:embed="rId7"/>
                    <a:stretch>
                      <a:fillRect/>
                    </a:stretch>
                  </pic:blipFill>
                  <pic:spPr>
                    <a:xfrm>
                      <a:off x="0" y="0"/>
                      <a:ext cx="5272405" cy="3491865"/>
                    </a:xfrm>
                    <a:prstGeom prst="rect">
                      <a:avLst/>
                    </a:prstGeom>
                  </pic:spPr>
                </pic:pic>
              </a:graphicData>
            </a:graphic>
          </wp:inline>
        </w:drawing>
      </w:r>
      <w:r>
        <w:rPr>
          <w:rFonts w:hint="eastAsia" w:ascii="仿宋" w:hAnsi="仿宋" w:eastAsia="仿宋" w:cs="仿宋"/>
          <w:color w:val="auto"/>
          <w:kern w:val="0"/>
          <w:sz w:val="32"/>
          <w:szCs w:val="32"/>
          <w:shd w:val="clear" w:color="auto" w:fill="auto"/>
          <w:lang w:eastAsia="zh-CN"/>
        </w:rPr>
        <w:drawing>
          <wp:inline distT="0" distB="0" distL="114300" distR="114300">
            <wp:extent cx="5266690" cy="3950335"/>
            <wp:effectExtent l="0" t="0" r="10160" b="12065"/>
            <wp:docPr id="2" name="图片 2" descr="儿科满意度回访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儿科满意度回访 (2)"/>
                    <pic:cNvPicPr>
                      <a:picLocks noChangeAspect="1"/>
                    </pic:cNvPicPr>
                  </pic:nvPicPr>
                  <pic:blipFill>
                    <a:blip r:embed="rId8"/>
                    <a:stretch>
                      <a:fillRect/>
                    </a:stretch>
                  </pic:blipFill>
                  <pic:spPr>
                    <a:xfrm>
                      <a:off x="0" y="0"/>
                      <a:ext cx="5266690" cy="3950335"/>
                    </a:xfrm>
                    <a:prstGeom prst="rect">
                      <a:avLst/>
                    </a:prstGeom>
                  </pic:spPr>
                </pic:pic>
              </a:graphicData>
            </a:graphic>
          </wp:inline>
        </w:drawing>
      </w:r>
    </w:p>
    <w:p>
      <w:pPr>
        <w:pStyle w:val="9"/>
        <w:keepNext w:val="0"/>
        <w:keepLines w:val="0"/>
        <w:pageBreakBefore w:val="0"/>
        <w:widowControl/>
        <w:numPr>
          <w:ilvl w:val="0"/>
          <w:numId w:val="1"/>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楷体" w:hAnsi="楷体" w:eastAsia="楷体" w:cs="楷体"/>
          <w:color w:val="auto"/>
          <w:kern w:val="22"/>
          <w:sz w:val="32"/>
          <w:szCs w:val="32"/>
          <w:lang w:eastAsia="zh-CN"/>
        </w:rPr>
      </w:pPr>
      <w:r>
        <w:rPr>
          <w:rFonts w:hint="eastAsia" w:ascii="楷体" w:hAnsi="楷体" w:eastAsia="楷体" w:cs="楷体"/>
          <w:color w:val="auto"/>
          <w:kern w:val="22"/>
          <w:sz w:val="32"/>
          <w:szCs w:val="32"/>
          <w:lang w:eastAsia="zh-CN"/>
        </w:rPr>
        <w:t>监督保障</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 w:hAnsi="仿宋" w:eastAsia="仿宋" w:cs="仿宋"/>
          <w:color w:val="auto"/>
          <w:kern w:val="22"/>
          <w:sz w:val="32"/>
          <w:szCs w:val="32"/>
          <w:lang w:eastAsia="zh-CN"/>
        </w:rPr>
      </w:pPr>
      <w:r>
        <w:rPr>
          <w:rFonts w:hint="eastAsia" w:ascii="仿宋" w:hAnsi="仿宋" w:eastAsia="仿宋" w:cs="仿宋"/>
          <w:color w:val="auto"/>
          <w:kern w:val="22"/>
          <w:sz w:val="32"/>
          <w:szCs w:val="32"/>
          <w:lang w:eastAsia="zh-CN"/>
        </w:rPr>
        <w:t>加大监督保障力度。强化电子政务和政务公开的组织保障。及时迅速纠正公开内容错字、漏字等问题。积极参加县府办组织的政务公开工作培训，紧跟新修订的政府信息公开条例的变化，不断强化依法公开意识，增强依法公开能力，确保规范做好信息公开工作。</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ascii="黑体" w:hAnsi="黑体" w:eastAsia="黑体"/>
          <w:color w:val="auto"/>
          <w:kern w:val="22"/>
          <w:sz w:val="32"/>
          <w:szCs w:val="32"/>
        </w:rPr>
      </w:pPr>
      <w:r>
        <w:rPr>
          <w:rFonts w:hint="eastAsia" w:ascii="黑体" w:hAnsi="黑体" w:eastAsia="黑体"/>
          <w:color w:val="auto"/>
          <w:kern w:val="22"/>
          <w:sz w:val="32"/>
          <w:szCs w:val="32"/>
        </w:rPr>
        <w:t>二、主动公开政府信息情况</w:t>
      </w:r>
    </w:p>
    <w:tbl>
      <w:tblPr>
        <w:tblStyle w:val="11"/>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5"/>
        <w:gridCol w:w="203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931" w:type="dxa"/>
            <w:gridSpan w:val="4"/>
            <w:vAlign w:val="center"/>
          </w:tcPr>
          <w:p>
            <w:pPr>
              <w:keepNext w:val="0"/>
              <w:keepLines w:val="0"/>
              <w:pageBreakBefore w:val="0"/>
              <w:kinsoku/>
              <w:wordWrap/>
              <w:overflowPunct/>
              <w:topLinePunct w:val="0"/>
              <w:autoSpaceDE/>
              <w:autoSpaceDN/>
              <w:bidi w:val="0"/>
              <w:adjustRightInd/>
              <w:snapToGrid/>
              <w:spacing w:line="560" w:lineRule="exact"/>
              <w:ind w:left="0" w:leftChars="0" w:firstLine="480" w:firstLineChars="200"/>
              <w:jc w:val="center"/>
              <w:textAlignment w:val="auto"/>
              <w:rPr>
                <w:color w:val="auto"/>
                <w:kern w:val="0"/>
                <w:sz w:val="24"/>
              </w:rPr>
            </w:pPr>
            <w:r>
              <w:rPr>
                <w:rFonts w:hint="eastAsia"/>
                <w:color w:val="auto"/>
                <w:kern w:val="0"/>
                <w:sz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694"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480" w:firstLineChars="200"/>
              <w:jc w:val="both"/>
              <w:textAlignment w:val="auto"/>
              <w:rPr>
                <w:color w:val="auto"/>
                <w:kern w:val="0"/>
                <w:sz w:val="24"/>
              </w:rPr>
            </w:pPr>
            <w:r>
              <w:rPr>
                <w:rFonts w:hint="eastAsia"/>
                <w:color w:val="auto"/>
                <w:kern w:val="0"/>
                <w:sz w:val="24"/>
              </w:rPr>
              <w:t>信息内容</w:t>
            </w:r>
          </w:p>
        </w:tc>
        <w:tc>
          <w:tcPr>
            <w:tcW w:w="1985"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color w:val="auto"/>
                <w:kern w:val="0"/>
                <w:sz w:val="24"/>
              </w:rPr>
            </w:pPr>
            <w:r>
              <w:rPr>
                <w:rFonts w:hint="eastAsia"/>
                <w:color w:val="auto"/>
                <w:kern w:val="0"/>
                <w:sz w:val="24"/>
              </w:rPr>
              <w:t>本年新制作数量</w:t>
            </w:r>
          </w:p>
        </w:tc>
        <w:tc>
          <w:tcPr>
            <w:tcW w:w="2030"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color w:val="auto"/>
                <w:kern w:val="0"/>
                <w:sz w:val="24"/>
              </w:rPr>
            </w:pPr>
            <w:r>
              <w:rPr>
                <w:rFonts w:hint="eastAsia"/>
                <w:color w:val="auto"/>
                <w:kern w:val="0"/>
                <w:sz w:val="24"/>
              </w:rPr>
              <w:t>本年新公开数量</w:t>
            </w:r>
          </w:p>
        </w:tc>
        <w:tc>
          <w:tcPr>
            <w:tcW w:w="2222"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color w:val="auto"/>
                <w:kern w:val="0"/>
                <w:sz w:val="24"/>
              </w:rPr>
            </w:pPr>
            <w:r>
              <w:rPr>
                <w:rFonts w:hint="eastAsia"/>
                <w:color w:val="auto"/>
                <w:kern w:val="0"/>
                <w:sz w:val="24"/>
              </w:rPr>
              <w:t>对外公开总数量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694"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color w:val="auto"/>
                <w:kern w:val="0"/>
                <w:sz w:val="24"/>
              </w:rPr>
            </w:pPr>
            <w:r>
              <w:rPr>
                <w:rFonts w:hint="eastAsia"/>
                <w:color w:val="auto"/>
                <w:kern w:val="0"/>
                <w:sz w:val="24"/>
              </w:rPr>
              <w:t>规章</w:t>
            </w:r>
          </w:p>
        </w:tc>
        <w:tc>
          <w:tcPr>
            <w:tcW w:w="1985"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color w:val="auto"/>
                <w:kern w:val="0"/>
                <w:sz w:val="24"/>
              </w:rPr>
            </w:pPr>
            <w:r>
              <w:rPr>
                <w:rFonts w:hint="eastAsia"/>
                <w:color w:val="auto"/>
                <w:kern w:val="0"/>
                <w:sz w:val="24"/>
              </w:rPr>
              <w:t>0</w:t>
            </w:r>
          </w:p>
        </w:tc>
        <w:tc>
          <w:tcPr>
            <w:tcW w:w="2030"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color w:val="auto"/>
                <w:kern w:val="0"/>
                <w:sz w:val="24"/>
              </w:rPr>
            </w:pPr>
            <w:r>
              <w:rPr>
                <w:rFonts w:hint="eastAsia"/>
                <w:color w:val="auto"/>
                <w:kern w:val="0"/>
                <w:sz w:val="24"/>
              </w:rPr>
              <w:t>0</w:t>
            </w:r>
          </w:p>
        </w:tc>
        <w:tc>
          <w:tcPr>
            <w:tcW w:w="2222"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color w:val="auto"/>
                <w:kern w:val="0"/>
                <w:sz w:val="24"/>
              </w:rPr>
            </w:pPr>
            <w:r>
              <w:rPr>
                <w:rFonts w:hint="eastAsia"/>
                <w:color w:val="auto"/>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694"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color w:val="auto"/>
                <w:kern w:val="0"/>
                <w:sz w:val="24"/>
              </w:rPr>
            </w:pPr>
            <w:r>
              <w:rPr>
                <w:rFonts w:hint="eastAsia"/>
                <w:color w:val="auto"/>
                <w:kern w:val="0"/>
                <w:sz w:val="24"/>
              </w:rPr>
              <w:t>规范性文件</w:t>
            </w:r>
          </w:p>
        </w:tc>
        <w:tc>
          <w:tcPr>
            <w:tcW w:w="1985"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eastAsia="宋体"/>
                <w:color w:val="auto"/>
                <w:kern w:val="0"/>
                <w:sz w:val="24"/>
                <w:lang w:val="en-US" w:eastAsia="zh-CN"/>
              </w:rPr>
            </w:pPr>
            <w:r>
              <w:rPr>
                <w:rFonts w:hint="eastAsia"/>
                <w:color w:val="auto"/>
                <w:kern w:val="0"/>
                <w:sz w:val="24"/>
                <w:lang w:val="en-US" w:eastAsia="zh-CN"/>
              </w:rPr>
              <w:t>0</w:t>
            </w:r>
          </w:p>
        </w:tc>
        <w:tc>
          <w:tcPr>
            <w:tcW w:w="2030"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eastAsia="宋体"/>
                <w:color w:val="auto"/>
                <w:kern w:val="0"/>
                <w:sz w:val="24"/>
                <w:lang w:val="en-US" w:eastAsia="zh-CN"/>
              </w:rPr>
            </w:pPr>
            <w:r>
              <w:rPr>
                <w:rFonts w:hint="eastAsia"/>
                <w:color w:val="auto"/>
                <w:kern w:val="0"/>
                <w:sz w:val="24"/>
                <w:lang w:val="en-US" w:eastAsia="zh-CN"/>
              </w:rPr>
              <w:t>0</w:t>
            </w:r>
          </w:p>
        </w:tc>
        <w:tc>
          <w:tcPr>
            <w:tcW w:w="2222"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eastAsia="宋体"/>
                <w:color w:val="auto"/>
                <w:kern w:val="0"/>
                <w:sz w:val="24"/>
                <w:lang w:val="en-US" w:eastAsia="zh-CN"/>
              </w:rPr>
            </w:pPr>
            <w:r>
              <w:rPr>
                <w:rFonts w:hint="eastAsia"/>
                <w:color w:val="auto"/>
                <w:kern w:val="0"/>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31" w:type="dxa"/>
            <w:gridSpan w:val="4"/>
            <w:vAlign w:val="center"/>
          </w:tcPr>
          <w:p>
            <w:pPr>
              <w:keepNext w:val="0"/>
              <w:keepLines w:val="0"/>
              <w:pageBreakBefore w:val="0"/>
              <w:kinsoku/>
              <w:wordWrap/>
              <w:overflowPunct/>
              <w:topLinePunct w:val="0"/>
              <w:autoSpaceDE/>
              <w:autoSpaceDN/>
              <w:bidi w:val="0"/>
              <w:adjustRightInd/>
              <w:snapToGrid/>
              <w:spacing w:line="560" w:lineRule="exact"/>
              <w:ind w:left="0" w:leftChars="0" w:firstLine="480" w:firstLineChars="200"/>
              <w:jc w:val="center"/>
              <w:textAlignment w:val="auto"/>
              <w:rPr>
                <w:color w:val="auto"/>
                <w:kern w:val="0"/>
                <w:sz w:val="24"/>
              </w:rPr>
            </w:pPr>
            <w:r>
              <w:rPr>
                <w:rFonts w:hint="eastAsia"/>
                <w:color w:val="auto"/>
                <w:kern w:val="0"/>
                <w:sz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694"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480" w:firstLineChars="200"/>
              <w:jc w:val="both"/>
              <w:textAlignment w:val="auto"/>
              <w:rPr>
                <w:color w:val="auto"/>
                <w:kern w:val="0"/>
                <w:sz w:val="24"/>
              </w:rPr>
            </w:pPr>
            <w:r>
              <w:rPr>
                <w:rFonts w:hint="eastAsia"/>
                <w:color w:val="auto"/>
                <w:kern w:val="0"/>
                <w:sz w:val="24"/>
              </w:rPr>
              <w:t>信息内容</w:t>
            </w:r>
          </w:p>
        </w:tc>
        <w:tc>
          <w:tcPr>
            <w:tcW w:w="1985"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color w:val="auto"/>
                <w:kern w:val="0"/>
                <w:sz w:val="24"/>
              </w:rPr>
            </w:pPr>
            <w:r>
              <w:rPr>
                <w:rFonts w:hint="eastAsia"/>
                <w:color w:val="auto"/>
                <w:kern w:val="0"/>
                <w:sz w:val="24"/>
              </w:rPr>
              <w:t>上一年项目数量</w:t>
            </w:r>
          </w:p>
        </w:tc>
        <w:tc>
          <w:tcPr>
            <w:tcW w:w="2030"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480" w:firstLineChars="200"/>
              <w:jc w:val="both"/>
              <w:textAlignment w:val="auto"/>
              <w:rPr>
                <w:color w:val="auto"/>
                <w:kern w:val="0"/>
                <w:sz w:val="24"/>
              </w:rPr>
            </w:pPr>
            <w:r>
              <w:rPr>
                <w:rFonts w:hint="eastAsia"/>
                <w:color w:val="auto"/>
                <w:kern w:val="0"/>
                <w:sz w:val="24"/>
              </w:rPr>
              <w:t>本年增/减</w:t>
            </w:r>
          </w:p>
        </w:tc>
        <w:tc>
          <w:tcPr>
            <w:tcW w:w="2222"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480" w:firstLineChars="200"/>
              <w:jc w:val="both"/>
              <w:textAlignment w:val="auto"/>
              <w:rPr>
                <w:color w:val="auto"/>
                <w:kern w:val="0"/>
                <w:sz w:val="24"/>
              </w:rPr>
            </w:pPr>
            <w:r>
              <w:rPr>
                <w:rFonts w:hint="eastAsia"/>
                <w:color w:val="auto"/>
                <w:kern w:val="0"/>
                <w:sz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694"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color w:val="auto"/>
                <w:kern w:val="0"/>
                <w:sz w:val="24"/>
              </w:rPr>
            </w:pPr>
            <w:r>
              <w:rPr>
                <w:rFonts w:hint="eastAsia"/>
                <w:color w:val="auto"/>
                <w:kern w:val="0"/>
                <w:sz w:val="24"/>
              </w:rPr>
              <w:t>行政许可</w:t>
            </w:r>
          </w:p>
        </w:tc>
        <w:tc>
          <w:tcPr>
            <w:tcW w:w="1985" w:type="dxa"/>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c>
          <w:tcPr>
            <w:tcW w:w="2030" w:type="dxa"/>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firstLine="400" w:firstLineChars="200"/>
              <w:jc w:val="left"/>
              <w:textAlignment w:val="auto"/>
              <w:rPr>
                <w:rFonts w:hint="eastAsia" w:ascii="宋体" w:hAnsi="宋体" w:eastAsia="宋体" w:cs="宋体"/>
                <w:color w:val="auto"/>
                <w:kern w:val="0"/>
                <w:sz w:val="24"/>
                <w:lang w:eastAsia="zh-CN"/>
              </w:rPr>
            </w:pPr>
            <w:r>
              <w:rPr>
                <w:rFonts w:hint="eastAsia" w:ascii="宋体" w:hAnsi="宋体" w:cs="宋体"/>
                <w:color w:val="auto"/>
                <w:kern w:val="0"/>
                <w:sz w:val="20"/>
                <w:szCs w:val="20"/>
              </w:rPr>
              <w:t>　</w:t>
            </w:r>
            <w:r>
              <w:rPr>
                <w:rFonts w:hint="eastAsia" w:ascii="宋体" w:hAnsi="宋体" w:cs="宋体"/>
                <w:color w:val="auto"/>
                <w:kern w:val="0"/>
                <w:sz w:val="20"/>
                <w:szCs w:val="20"/>
                <w:lang w:val="en-US" w:eastAsia="zh-CN"/>
              </w:rPr>
              <w:t>0</w:t>
            </w:r>
          </w:p>
        </w:tc>
        <w:tc>
          <w:tcPr>
            <w:tcW w:w="2222" w:type="dxa"/>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firstLine="400" w:firstLineChars="200"/>
              <w:jc w:val="left"/>
              <w:textAlignment w:val="auto"/>
              <w:rPr>
                <w:rFonts w:ascii="宋体" w:hAnsi="宋体" w:cs="宋体"/>
                <w:color w:val="auto"/>
                <w:kern w:val="0"/>
                <w:sz w:val="24"/>
              </w:rPr>
            </w:pPr>
            <w:r>
              <w:rPr>
                <w:rFonts w:hint="eastAsia" w:ascii="宋体" w:hAnsi="宋体" w:cs="宋体"/>
                <w:color w:val="auto"/>
                <w:kern w:val="0"/>
                <w:sz w:val="20"/>
                <w:szCs w:val="20"/>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694"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color w:val="auto"/>
                <w:kern w:val="0"/>
                <w:sz w:val="24"/>
              </w:rPr>
            </w:pPr>
            <w:r>
              <w:rPr>
                <w:rFonts w:hint="eastAsia"/>
                <w:color w:val="auto"/>
                <w:kern w:val="0"/>
                <w:sz w:val="24"/>
              </w:rPr>
              <w:t>其他对外管理服务事项</w:t>
            </w:r>
          </w:p>
        </w:tc>
        <w:tc>
          <w:tcPr>
            <w:tcW w:w="1985" w:type="dxa"/>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firstLine="480" w:firstLineChars="200"/>
              <w:jc w:val="left"/>
              <w:textAlignment w:val="auto"/>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123</w:t>
            </w:r>
          </w:p>
        </w:tc>
        <w:tc>
          <w:tcPr>
            <w:tcW w:w="2030" w:type="dxa"/>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firstLine="400" w:firstLineChars="200"/>
              <w:jc w:val="left"/>
              <w:textAlignment w:val="auto"/>
              <w:rPr>
                <w:rFonts w:hint="eastAsia" w:ascii="宋体" w:hAnsi="宋体" w:eastAsia="宋体" w:cs="宋体"/>
                <w:color w:val="auto"/>
                <w:kern w:val="0"/>
                <w:sz w:val="24"/>
                <w:lang w:eastAsia="zh-CN"/>
              </w:rPr>
            </w:pPr>
            <w:r>
              <w:rPr>
                <w:rFonts w:hint="eastAsia" w:ascii="宋体" w:hAnsi="宋体" w:cs="宋体"/>
                <w:color w:val="auto"/>
                <w:kern w:val="0"/>
                <w:sz w:val="20"/>
                <w:szCs w:val="20"/>
              </w:rPr>
              <w:t>　</w:t>
            </w:r>
            <w:r>
              <w:rPr>
                <w:rFonts w:hint="eastAsia" w:ascii="宋体" w:hAnsi="宋体" w:cs="宋体"/>
                <w:color w:val="auto"/>
                <w:kern w:val="0"/>
                <w:sz w:val="20"/>
                <w:szCs w:val="20"/>
                <w:lang w:val="en-US" w:eastAsia="zh-CN"/>
              </w:rPr>
              <w:t>0</w:t>
            </w:r>
          </w:p>
        </w:tc>
        <w:tc>
          <w:tcPr>
            <w:tcW w:w="2222" w:type="dxa"/>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firstLine="400" w:firstLineChars="200"/>
              <w:jc w:val="left"/>
              <w:textAlignment w:val="auto"/>
              <w:rPr>
                <w:rFonts w:hint="default" w:ascii="宋体" w:hAnsi="宋体" w:eastAsia="宋体" w:cs="宋体"/>
                <w:color w:val="auto"/>
                <w:kern w:val="0"/>
                <w:sz w:val="24"/>
                <w:lang w:val="en-US" w:eastAsia="zh-CN"/>
              </w:rPr>
            </w:pPr>
            <w:r>
              <w:rPr>
                <w:rFonts w:hint="eastAsia" w:ascii="宋体" w:hAnsi="宋体" w:cs="宋体"/>
                <w:color w:val="auto"/>
                <w:kern w:val="0"/>
                <w:sz w:val="20"/>
                <w:szCs w:val="20"/>
              </w:rPr>
              <w:t>　</w:t>
            </w:r>
            <w:r>
              <w:rPr>
                <w:rFonts w:hint="eastAsia" w:ascii="宋体" w:hAnsi="宋体" w:cs="宋体"/>
                <w:color w:val="auto"/>
                <w:kern w:val="0"/>
                <w:sz w:val="20"/>
                <w:szCs w:val="20"/>
                <w:lang w:val="en-US" w:eastAsia="zh-CN"/>
              </w:rPr>
              <w:t>221667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931" w:type="dxa"/>
            <w:gridSpan w:val="4"/>
            <w:vAlign w:val="center"/>
          </w:tcPr>
          <w:p>
            <w:pPr>
              <w:keepNext w:val="0"/>
              <w:keepLines w:val="0"/>
              <w:pageBreakBefore w:val="0"/>
              <w:kinsoku/>
              <w:wordWrap/>
              <w:overflowPunct/>
              <w:topLinePunct w:val="0"/>
              <w:autoSpaceDE/>
              <w:autoSpaceDN/>
              <w:bidi w:val="0"/>
              <w:adjustRightInd/>
              <w:snapToGrid/>
              <w:spacing w:line="560" w:lineRule="exact"/>
              <w:ind w:left="0" w:leftChars="0" w:firstLine="480" w:firstLineChars="200"/>
              <w:jc w:val="center"/>
              <w:textAlignment w:val="auto"/>
              <w:rPr>
                <w:color w:val="auto"/>
                <w:kern w:val="0"/>
                <w:sz w:val="24"/>
              </w:rPr>
            </w:pPr>
            <w:r>
              <w:rPr>
                <w:rFonts w:hint="eastAsia"/>
                <w:color w:val="auto"/>
                <w:kern w:val="0"/>
                <w:sz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694"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480" w:firstLineChars="200"/>
              <w:jc w:val="both"/>
              <w:textAlignment w:val="auto"/>
              <w:rPr>
                <w:color w:val="auto"/>
                <w:kern w:val="0"/>
                <w:sz w:val="24"/>
              </w:rPr>
            </w:pPr>
            <w:r>
              <w:rPr>
                <w:rFonts w:hint="eastAsia"/>
                <w:color w:val="auto"/>
                <w:kern w:val="0"/>
                <w:sz w:val="24"/>
              </w:rPr>
              <w:t>信息内容</w:t>
            </w:r>
          </w:p>
        </w:tc>
        <w:tc>
          <w:tcPr>
            <w:tcW w:w="1985"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color w:val="auto"/>
                <w:kern w:val="0"/>
                <w:sz w:val="24"/>
              </w:rPr>
            </w:pPr>
            <w:r>
              <w:rPr>
                <w:rFonts w:hint="eastAsia"/>
                <w:color w:val="auto"/>
                <w:kern w:val="0"/>
                <w:sz w:val="24"/>
              </w:rPr>
              <w:t>上一年项目数量</w:t>
            </w:r>
          </w:p>
        </w:tc>
        <w:tc>
          <w:tcPr>
            <w:tcW w:w="2030"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480" w:firstLineChars="200"/>
              <w:jc w:val="both"/>
              <w:textAlignment w:val="auto"/>
              <w:rPr>
                <w:color w:val="auto"/>
                <w:kern w:val="0"/>
                <w:sz w:val="24"/>
              </w:rPr>
            </w:pPr>
            <w:r>
              <w:rPr>
                <w:rFonts w:hint="eastAsia"/>
                <w:color w:val="auto"/>
                <w:kern w:val="0"/>
                <w:sz w:val="24"/>
              </w:rPr>
              <w:t>本年增/减</w:t>
            </w:r>
          </w:p>
        </w:tc>
        <w:tc>
          <w:tcPr>
            <w:tcW w:w="2222"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color w:val="auto"/>
                <w:kern w:val="0"/>
                <w:sz w:val="24"/>
              </w:rPr>
            </w:pPr>
            <w:r>
              <w:rPr>
                <w:rFonts w:hint="eastAsia"/>
                <w:color w:val="auto"/>
                <w:kern w:val="0"/>
                <w:sz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694"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color w:val="auto"/>
                <w:kern w:val="0"/>
                <w:sz w:val="24"/>
              </w:rPr>
            </w:pPr>
            <w:r>
              <w:rPr>
                <w:rFonts w:hint="eastAsia"/>
                <w:color w:val="auto"/>
                <w:kern w:val="0"/>
                <w:sz w:val="24"/>
              </w:rPr>
              <w:t>行政处罚</w:t>
            </w:r>
          </w:p>
        </w:tc>
        <w:tc>
          <w:tcPr>
            <w:tcW w:w="1985" w:type="dxa"/>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firstLine="400" w:firstLineChars="200"/>
              <w:jc w:val="left"/>
              <w:textAlignment w:val="auto"/>
              <w:rPr>
                <w:rFonts w:ascii="宋体" w:hAnsi="宋体" w:cs="宋体"/>
                <w:color w:val="auto"/>
                <w:kern w:val="0"/>
                <w:sz w:val="24"/>
              </w:rPr>
            </w:pPr>
            <w:r>
              <w:rPr>
                <w:rFonts w:hint="eastAsia" w:ascii="宋体" w:hAnsi="宋体" w:cs="宋体"/>
                <w:color w:val="auto"/>
                <w:kern w:val="0"/>
                <w:sz w:val="20"/>
                <w:szCs w:val="20"/>
              </w:rPr>
              <w:t>　72</w:t>
            </w:r>
          </w:p>
        </w:tc>
        <w:tc>
          <w:tcPr>
            <w:tcW w:w="2030" w:type="dxa"/>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firstLine="400" w:firstLineChars="200"/>
              <w:jc w:val="left"/>
              <w:textAlignment w:val="auto"/>
              <w:rPr>
                <w:rFonts w:hint="eastAsia" w:ascii="宋体" w:hAnsi="宋体" w:eastAsia="宋体" w:cs="宋体"/>
                <w:color w:val="auto"/>
                <w:kern w:val="0"/>
                <w:sz w:val="24"/>
                <w:lang w:eastAsia="zh-CN"/>
              </w:rPr>
            </w:pPr>
            <w:r>
              <w:rPr>
                <w:rFonts w:hint="eastAsia" w:ascii="宋体" w:hAnsi="宋体" w:cs="宋体"/>
                <w:color w:val="auto"/>
                <w:kern w:val="0"/>
                <w:sz w:val="20"/>
                <w:szCs w:val="20"/>
                <w:lang w:val="en-US" w:eastAsia="zh-CN"/>
              </w:rPr>
              <w:t>0</w:t>
            </w:r>
          </w:p>
        </w:tc>
        <w:tc>
          <w:tcPr>
            <w:tcW w:w="2222" w:type="dxa"/>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firstLine="400" w:firstLineChars="200"/>
              <w:jc w:val="left"/>
              <w:textAlignment w:val="auto"/>
              <w:rPr>
                <w:rFonts w:hint="default" w:ascii="宋体" w:hAnsi="宋体" w:eastAsia="宋体" w:cs="宋体"/>
                <w:color w:val="auto"/>
                <w:kern w:val="0"/>
                <w:sz w:val="24"/>
                <w:lang w:val="en-US" w:eastAsia="zh-CN"/>
              </w:rPr>
            </w:pPr>
            <w:r>
              <w:rPr>
                <w:rFonts w:hint="eastAsia" w:ascii="宋体" w:hAnsi="宋体" w:cs="宋体"/>
                <w:color w:val="auto"/>
                <w:kern w:val="0"/>
                <w:sz w:val="20"/>
                <w:szCs w:val="20"/>
              </w:rPr>
              <w:t>　</w:t>
            </w:r>
            <w:r>
              <w:rPr>
                <w:rFonts w:hint="eastAsia" w:ascii="宋体" w:hAnsi="宋体" w:cs="宋体"/>
                <w:color w:val="auto"/>
                <w:kern w:val="0"/>
                <w:sz w:val="20"/>
                <w:szCs w:val="20"/>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694"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color w:val="auto"/>
                <w:kern w:val="0"/>
                <w:sz w:val="24"/>
              </w:rPr>
            </w:pPr>
            <w:r>
              <w:rPr>
                <w:rFonts w:hint="eastAsia"/>
                <w:color w:val="auto"/>
                <w:kern w:val="0"/>
                <w:sz w:val="24"/>
              </w:rPr>
              <w:t>行政强制</w:t>
            </w:r>
          </w:p>
        </w:tc>
        <w:tc>
          <w:tcPr>
            <w:tcW w:w="1985" w:type="dxa"/>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firstLine="400" w:firstLineChars="200"/>
              <w:jc w:val="left"/>
              <w:textAlignment w:val="auto"/>
              <w:rPr>
                <w:rFonts w:hint="default" w:ascii="宋体" w:hAnsi="宋体" w:eastAsia="宋体" w:cs="宋体"/>
                <w:color w:val="auto"/>
                <w:kern w:val="0"/>
                <w:sz w:val="24"/>
                <w:lang w:val="en-US" w:eastAsia="zh-CN"/>
              </w:rPr>
            </w:pPr>
            <w:r>
              <w:rPr>
                <w:rFonts w:hint="eastAsia" w:ascii="宋体" w:hAnsi="宋体" w:cs="宋体"/>
                <w:color w:val="auto"/>
                <w:kern w:val="0"/>
                <w:sz w:val="20"/>
                <w:szCs w:val="20"/>
              </w:rPr>
              <w:t>　</w:t>
            </w:r>
            <w:r>
              <w:rPr>
                <w:rFonts w:hint="eastAsia" w:ascii="宋体" w:hAnsi="宋体" w:cs="宋体"/>
                <w:color w:val="auto"/>
                <w:kern w:val="0"/>
                <w:sz w:val="20"/>
                <w:szCs w:val="20"/>
                <w:lang w:val="en-US" w:eastAsia="zh-CN"/>
              </w:rPr>
              <w:t>10</w:t>
            </w:r>
          </w:p>
        </w:tc>
        <w:tc>
          <w:tcPr>
            <w:tcW w:w="2030" w:type="dxa"/>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firstLine="400" w:firstLineChars="200"/>
              <w:jc w:val="left"/>
              <w:textAlignment w:val="auto"/>
              <w:rPr>
                <w:rFonts w:ascii="宋体" w:hAnsi="宋体" w:cs="宋体"/>
                <w:color w:val="auto"/>
                <w:kern w:val="0"/>
                <w:sz w:val="24"/>
              </w:rPr>
            </w:pPr>
            <w:r>
              <w:rPr>
                <w:rFonts w:hint="eastAsia" w:ascii="宋体" w:hAnsi="宋体" w:cs="宋体"/>
                <w:color w:val="auto"/>
                <w:kern w:val="0"/>
                <w:sz w:val="20"/>
                <w:szCs w:val="20"/>
              </w:rPr>
              <w:t>0</w:t>
            </w:r>
          </w:p>
        </w:tc>
        <w:tc>
          <w:tcPr>
            <w:tcW w:w="2222" w:type="dxa"/>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firstLine="400" w:firstLineChars="200"/>
              <w:jc w:val="left"/>
              <w:textAlignment w:val="auto"/>
              <w:rPr>
                <w:rFonts w:ascii="宋体" w:hAnsi="宋体" w:cs="宋体"/>
                <w:color w:val="auto"/>
                <w:kern w:val="0"/>
                <w:sz w:val="24"/>
              </w:rPr>
            </w:pPr>
            <w:r>
              <w:rPr>
                <w:rFonts w:hint="eastAsia" w:ascii="宋体" w:hAnsi="宋体" w:cs="宋体"/>
                <w:color w:val="auto"/>
                <w:kern w:val="0"/>
                <w:sz w:val="20"/>
                <w:szCs w:val="20"/>
              </w:rPr>
              <w: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931" w:type="dxa"/>
            <w:gridSpan w:val="4"/>
            <w:vAlign w:val="center"/>
          </w:tcPr>
          <w:p>
            <w:pPr>
              <w:keepNext w:val="0"/>
              <w:keepLines w:val="0"/>
              <w:pageBreakBefore w:val="0"/>
              <w:kinsoku/>
              <w:wordWrap/>
              <w:overflowPunct/>
              <w:topLinePunct w:val="0"/>
              <w:autoSpaceDE/>
              <w:autoSpaceDN/>
              <w:bidi w:val="0"/>
              <w:adjustRightInd/>
              <w:snapToGrid/>
              <w:spacing w:line="560" w:lineRule="exact"/>
              <w:ind w:left="0" w:leftChars="0" w:firstLine="480" w:firstLineChars="200"/>
              <w:jc w:val="center"/>
              <w:textAlignment w:val="auto"/>
              <w:rPr>
                <w:color w:val="auto"/>
                <w:kern w:val="0"/>
                <w:sz w:val="24"/>
              </w:rPr>
            </w:pPr>
            <w:r>
              <w:rPr>
                <w:rFonts w:hint="eastAsia"/>
                <w:color w:val="auto"/>
                <w:kern w:val="0"/>
                <w:sz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94" w:type="dxa"/>
            <w:vAlign w:val="center"/>
          </w:tcPr>
          <w:p>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color w:val="auto"/>
                <w:kern w:val="0"/>
                <w:sz w:val="24"/>
              </w:rPr>
            </w:pPr>
            <w:r>
              <w:rPr>
                <w:rFonts w:hint="eastAsia"/>
                <w:color w:val="auto"/>
                <w:kern w:val="0"/>
                <w:sz w:val="24"/>
              </w:rPr>
              <w:t>信息内容</w:t>
            </w:r>
          </w:p>
        </w:tc>
        <w:tc>
          <w:tcPr>
            <w:tcW w:w="1985"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color w:val="auto"/>
                <w:kern w:val="0"/>
                <w:sz w:val="24"/>
              </w:rPr>
            </w:pPr>
            <w:r>
              <w:rPr>
                <w:rFonts w:hint="eastAsia"/>
                <w:color w:val="auto"/>
                <w:kern w:val="0"/>
                <w:sz w:val="24"/>
              </w:rPr>
              <w:t>上一年项目数量</w:t>
            </w:r>
          </w:p>
        </w:tc>
        <w:tc>
          <w:tcPr>
            <w:tcW w:w="4252" w:type="dxa"/>
            <w:gridSpan w:val="2"/>
            <w:vAlign w:val="center"/>
          </w:tcPr>
          <w:p>
            <w:pPr>
              <w:keepNext w:val="0"/>
              <w:keepLines w:val="0"/>
              <w:pageBreakBefore w:val="0"/>
              <w:kinsoku/>
              <w:wordWrap/>
              <w:overflowPunct/>
              <w:topLinePunct w:val="0"/>
              <w:autoSpaceDE/>
              <w:autoSpaceDN/>
              <w:bidi w:val="0"/>
              <w:adjustRightInd/>
              <w:snapToGrid/>
              <w:spacing w:line="560" w:lineRule="exact"/>
              <w:ind w:left="0" w:leftChars="0" w:firstLine="480" w:firstLineChars="200"/>
              <w:jc w:val="center"/>
              <w:textAlignment w:val="auto"/>
              <w:rPr>
                <w:color w:val="auto"/>
                <w:kern w:val="0"/>
                <w:sz w:val="24"/>
              </w:rPr>
            </w:pPr>
            <w:r>
              <w:rPr>
                <w:rFonts w:hint="eastAsia"/>
                <w:color w:val="auto"/>
                <w:kern w:val="0"/>
                <w:sz w:val="24"/>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94"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color w:val="auto"/>
                <w:kern w:val="0"/>
                <w:sz w:val="24"/>
              </w:rPr>
            </w:pPr>
            <w:r>
              <w:rPr>
                <w:rFonts w:hint="eastAsia"/>
                <w:color w:val="auto"/>
                <w:kern w:val="0"/>
                <w:sz w:val="24"/>
              </w:rPr>
              <w:t>行政事业性收费</w:t>
            </w:r>
          </w:p>
        </w:tc>
        <w:tc>
          <w:tcPr>
            <w:tcW w:w="1985"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eastAsia="宋体"/>
                <w:color w:val="auto"/>
                <w:kern w:val="0"/>
                <w:sz w:val="24"/>
                <w:lang w:val="en-US" w:eastAsia="zh-CN"/>
              </w:rPr>
            </w:pPr>
            <w:r>
              <w:rPr>
                <w:rFonts w:hint="eastAsia"/>
                <w:color w:val="auto"/>
                <w:kern w:val="0"/>
                <w:sz w:val="24"/>
                <w:lang w:val="en-US" w:eastAsia="zh-CN"/>
              </w:rPr>
              <w:t>2</w:t>
            </w:r>
          </w:p>
        </w:tc>
        <w:tc>
          <w:tcPr>
            <w:tcW w:w="4252" w:type="dxa"/>
            <w:gridSpan w:val="2"/>
            <w:vAlign w:val="center"/>
          </w:tcPr>
          <w:p>
            <w:pPr>
              <w:keepNext w:val="0"/>
              <w:keepLines w:val="0"/>
              <w:pageBreakBefore w:val="0"/>
              <w:kinsoku/>
              <w:wordWrap/>
              <w:overflowPunct/>
              <w:topLinePunct w:val="0"/>
              <w:autoSpaceDE/>
              <w:autoSpaceDN/>
              <w:bidi w:val="0"/>
              <w:adjustRightInd/>
              <w:snapToGrid/>
              <w:spacing w:line="560" w:lineRule="exact"/>
              <w:ind w:left="0" w:leftChars="0" w:firstLine="480" w:firstLineChars="200"/>
              <w:jc w:val="center"/>
              <w:textAlignment w:val="auto"/>
              <w:rPr>
                <w:rFonts w:hint="default" w:eastAsia="宋体"/>
                <w:color w:val="auto"/>
                <w:kern w:val="0"/>
                <w:sz w:val="24"/>
                <w:lang w:val="en-US" w:eastAsia="zh-CN"/>
              </w:rPr>
            </w:pPr>
            <w:r>
              <w:rPr>
                <w:rFonts w:hint="eastAsia"/>
                <w:color w:val="auto"/>
                <w:kern w:val="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931" w:type="dxa"/>
            <w:gridSpan w:val="4"/>
            <w:vAlign w:val="center"/>
          </w:tcPr>
          <w:p>
            <w:pPr>
              <w:keepNext w:val="0"/>
              <w:keepLines w:val="0"/>
              <w:pageBreakBefore w:val="0"/>
              <w:kinsoku/>
              <w:wordWrap/>
              <w:overflowPunct/>
              <w:topLinePunct w:val="0"/>
              <w:autoSpaceDE/>
              <w:autoSpaceDN/>
              <w:bidi w:val="0"/>
              <w:adjustRightInd/>
              <w:snapToGrid/>
              <w:spacing w:line="560" w:lineRule="exact"/>
              <w:ind w:left="0" w:leftChars="0" w:firstLine="480" w:firstLineChars="200"/>
              <w:jc w:val="center"/>
              <w:textAlignment w:val="auto"/>
              <w:rPr>
                <w:color w:val="auto"/>
                <w:kern w:val="0"/>
                <w:sz w:val="24"/>
              </w:rPr>
            </w:pPr>
            <w:r>
              <w:rPr>
                <w:rFonts w:hint="eastAsia"/>
                <w:color w:val="auto"/>
                <w:kern w:val="0"/>
                <w:sz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694"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480" w:firstLineChars="200"/>
              <w:jc w:val="center"/>
              <w:textAlignment w:val="auto"/>
              <w:rPr>
                <w:color w:val="auto"/>
                <w:kern w:val="0"/>
                <w:sz w:val="24"/>
              </w:rPr>
            </w:pPr>
            <w:r>
              <w:rPr>
                <w:rFonts w:hint="eastAsia"/>
                <w:color w:val="auto"/>
                <w:kern w:val="0"/>
                <w:sz w:val="24"/>
              </w:rPr>
              <w:t>信息内容</w:t>
            </w:r>
          </w:p>
        </w:tc>
        <w:tc>
          <w:tcPr>
            <w:tcW w:w="1985"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color w:val="auto"/>
                <w:kern w:val="0"/>
                <w:sz w:val="24"/>
              </w:rPr>
            </w:pPr>
            <w:r>
              <w:rPr>
                <w:rFonts w:hint="eastAsia"/>
                <w:color w:val="auto"/>
                <w:kern w:val="0"/>
                <w:sz w:val="24"/>
              </w:rPr>
              <w:t>采购项目数量</w:t>
            </w:r>
          </w:p>
        </w:tc>
        <w:tc>
          <w:tcPr>
            <w:tcW w:w="4252" w:type="dxa"/>
            <w:gridSpan w:val="2"/>
            <w:vAlign w:val="center"/>
          </w:tcPr>
          <w:p>
            <w:pPr>
              <w:keepNext w:val="0"/>
              <w:keepLines w:val="0"/>
              <w:pageBreakBefore w:val="0"/>
              <w:kinsoku/>
              <w:wordWrap/>
              <w:overflowPunct/>
              <w:topLinePunct w:val="0"/>
              <w:autoSpaceDE/>
              <w:autoSpaceDN/>
              <w:bidi w:val="0"/>
              <w:adjustRightInd/>
              <w:snapToGrid/>
              <w:spacing w:line="560" w:lineRule="exact"/>
              <w:ind w:left="0" w:leftChars="0" w:firstLine="480" w:firstLineChars="200"/>
              <w:jc w:val="center"/>
              <w:textAlignment w:val="auto"/>
              <w:rPr>
                <w:color w:val="auto"/>
                <w:kern w:val="0"/>
                <w:sz w:val="24"/>
              </w:rPr>
            </w:pPr>
            <w:r>
              <w:rPr>
                <w:rFonts w:hint="eastAsia"/>
                <w:color w:val="auto"/>
                <w:kern w:val="0"/>
                <w:sz w:val="24"/>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694"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color w:val="auto"/>
                <w:kern w:val="0"/>
                <w:sz w:val="24"/>
              </w:rPr>
            </w:pPr>
            <w:r>
              <w:rPr>
                <w:rFonts w:hint="eastAsia"/>
                <w:color w:val="auto"/>
                <w:kern w:val="0"/>
                <w:sz w:val="24"/>
              </w:rPr>
              <w:t>政府集中采购</w:t>
            </w:r>
          </w:p>
        </w:tc>
        <w:tc>
          <w:tcPr>
            <w:tcW w:w="1985"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eastAsia="宋体"/>
                <w:color w:val="auto"/>
                <w:kern w:val="0"/>
                <w:sz w:val="24"/>
                <w:lang w:val="en-US" w:eastAsia="zh-CN"/>
              </w:rPr>
            </w:pPr>
            <w:r>
              <w:rPr>
                <w:rFonts w:hint="eastAsia"/>
                <w:color w:val="auto"/>
                <w:kern w:val="0"/>
                <w:sz w:val="24"/>
                <w:lang w:val="en-US" w:eastAsia="zh-CN"/>
              </w:rPr>
              <w:t>2</w:t>
            </w:r>
          </w:p>
        </w:tc>
        <w:tc>
          <w:tcPr>
            <w:tcW w:w="4252" w:type="dxa"/>
            <w:gridSpan w:val="2"/>
            <w:vAlign w:val="center"/>
          </w:tcPr>
          <w:p>
            <w:pPr>
              <w:keepNext w:val="0"/>
              <w:keepLines w:val="0"/>
              <w:pageBreakBefore w:val="0"/>
              <w:kinsoku/>
              <w:wordWrap/>
              <w:overflowPunct/>
              <w:topLinePunct w:val="0"/>
              <w:autoSpaceDE/>
              <w:autoSpaceDN/>
              <w:bidi w:val="0"/>
              <w:adjustRightInd/>
              <w:snapToGrid/>
              <w:spacing w:line="560" w:lineRule="exact"/>
              <w:ind w:left="0" w:leftChars="0" w:firstLine="480" w:firstLineChars="200"/>
              <w:jc w:val="center"/>
              <w:textAlignment w:val="auto"/>
              <w:rPr>
                <w:rFonts w:hint="default" w:eastAsia="宋体"/>
                <w:color w:val="auto"/>
                <w:kern w:val="0"/>
                <w:sz w:val="24"/>
                <w:lang w:val="en-US" w:eastAsia="zh-CN"/>
              </w:rPr>
            </w:pPr>
            <w:r>
              <w:rPr>
                <w:rFonts w:hint="eastAsia"/>
                <w:color w:val="auto"/>
                <w:kern w:val="0"/>
                <w:sz w:val="24"/>
                <w:lang w:val="en-US" w:eastAsia="zh-CN"/>
              </w:rPr>
              <w:t>28.44万元</w:t>
            </w:r>
          </w:p>
        </w:tc>
      </w:tr>
    </w:tbl>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黑体" w:hAnsi="黑体" w:eastAsia="黑体"/>
          <w:color w:val="auto"/>
          <w:kern w:val="22"/>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ascii="黑体" w:hAnsi="黑体" w:eastAsia="黑体"/>
          <w:color w:val="auto"/>
          <w:kern w:val="22"/>
          <w:sz w:val="32"/>
          <w:szCs w:val="32"/>
        </w:rPr>
      </w:pPr>
      <w:r>
        <w:rPr>
          <w:rFonts w:hint="eastAsia" w:ascii="黑体" w:hAnsi="黑体" w:eastAsia="黑体"/>
          <w:color w:val="auto"/>
          <w:kern w:val="22"/>
          <w:sz w:val="32"/>
          <w:szCs w:val="32"/>
        </w:rPr>
        <w:t>三、收到和处理政府信息公开申请情况</w:t>
      </w:r>
    </w:p>
    <w:p>
      <w:pPr>
        <w:pStyle w:val="9"/>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ascii="仿宋_GB2312" w:hAnsi="仿宋" w:eastAsia="仿宋_GB2312" w:cs="仿宋"/>
          <w:color w:val="auto"/>
          <w:sz w:val="32"/>
          <w:szCs w:val="32"/>
        </w:rPr>
      </w:pPr>
      <w:r>
        <w:rPr>
          <w:rFonts w:hint="eastAsia" w:ascii="仿宋_GB2312" w:hAnsi="仿宋" w:eastAsia="仿宋_GB2312" w:cs="仿宋"/>
          <w:color w:val="auto"/>
          <w:sz w:val="32"/>
          <w:szCs w:val="32"/>
        </w:rPr>
        <w:t>20</w:t>
      </w:r>
      <w:r>
        <w:rPr>
          <w:rFonts w:hint="eastAsia" w:ascii="仿宋_GB2312" w:hAnsi="仿宋" w:eastAsia="仿宋_GB2312" w:cs="仿宋"/>
          <w:color w:val="auto"/>
          <w:sz w:val="32"/>
          <w:szCs w:val="32"/>
          <w:lang w:val="en-US" w:eastAsia="zh-CN"/>
        </w:rPr>
        <w:t>20</w:t>
      </w:r>
      <w:r>
        <w:rPr>
          <w:rFonts w:hint="eastAsia" w:ascii="仿宋_GB2312" w:hAnsi="仿宋" w:eastAsia="仿宋_GB2312" w:cs="仿宋"/>
          <w:color w:val="auto"/>
          <w:sz w:val="32"/>
          <w:szCs w:val="32"/>
        </w:rPr>
        <w:t>年度，全县各级各部门各单位共收到政府信息公开申请</w:t>
      </w:r>
      <w:r>
        <w:rPr>
          <w:rFonts w:hint="eastAsia" w:ascii="仿宋_GB2312" w:hAnsi="仿宋" w:eastAsia="仿宋_GB2312" w:cs="仿宋"/>
          <w:color w:val="auto"/>
          <w:sz w:val="32"/>
          <w:szCs w:val="32"/>
          <w:u w:val="single"/>
        </w:rPr>
        <w:t>0</w:t>
      </w:r>
      <w:r>
        <w:rPr>
          <w:rFonts w:hint="eastAsia" w:ascii="仿宋_GB2312" w:hAnsi="仿宋" w:eastAsia="仿宋_GB2312" w:cs="仿宋"/>
          <w:color w:val="auto"/>
          <w:sz w:val="32"/>
          <w:szCs w:val="32"/>
        </w:rPr>
        <w:t>件，结转下年度继续办理</w:t>
      </w:r>
      <w:r>
        <w:rPr>
          <w:rFonts w:hint="eastAsia" w:ascii="仿宋_GB2312" w:hAnsi="仿宋" w:eastAsia="仿宋_GB2312" w:cs="仿宋"/>
          <w:color w:val="auto"/>
          <w:sz w:val="32"/>
          <w:szCs w:val="32"/>
          <w:u w:val="single"/>
        </w:rPr>
        <w:t>0</w:t>
      </w:r>
      <w:r>
        <w:rPr>
          <w:rFonts w:hint="eastAsia" w:ascii="仿宋_GB2312" w:hAnsi="仿宋" w:eastAsia="仿宋_GB2312" w:cs="仿宋"/>
          <w:color w:val="auto"/>
          <w:sz w:val="32"/>
          <w:szCs w:val="32"/>
        </w:rPr>
        <w:t>件，上年结转政府信息公开申请</w:t>
      </w:r>
      <w:r>
        <w:rPr>
          <w:rFonts w:hint="eastAsia" w:ascii="仿宋_GB2312" w:hAnsi="仿宋" w:eastAsia="仿宋_GB2312" w:cs="仿宋"/>
          <w:color w:val="auto"/>
          <w:sz w:val="32"/>
          <w:szCs w:val="32"/>
          <w:u w:val="single"/>
        </w:rPr>
        <w:t>0</w:t>
      </w:r>
      <w:r>
        <w:rPr>
          <w:rFonts w:hint="eastAsia" w:ascii="仿宋_GB2312" w:hAnsi="仿宋" w:eastAsia="仿宋_GB2312" w:cs="仿宋"/>
          <w:color w:val="auto"/>
          <w:sz w:val="32"/>
          <w:szCs w:val="32"/>
        </w:rPr>
        <w:t>件。</w:t>
      </w:r>
    </w:p>
    <w:tbl>
      <w:tblPr>
        <w:tblStyle w:val="11"/>
        <w:tblW w:w="978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2693"/>
        <w:gridCol w:w="567"/>
        <w:gridCol w:w="709"/>
        <w:gridCol w:w="708"/>
        <w:gridCol w:w="709"/>
        <w:gridCol w:w="709"/>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820" w:type="dxa"/>
            <w:gridSpan w:val="3"/>
            <w:vMerge w:val="restart"/>
            <w:vAlign w:val="center"/>
          </w:tcPr>
          <w:p>
            <w:pPr>
              <w:keepNext w:val="0"/>
              <w:keepLines w:val="0"/>
              <w:pageBreakBefore w:val="0"/>
              <w:kinsoku/>
              <w:wordWrap/>
              <w:overflowPunct/>
              <w:topLinePunct w:val="0"/>
              <w:autoSpaceDE/>
              <w:autoSpaceDN/>
              <w:bidi w:val="0"/>
              <w:adjustRightInd/>
              <w:snapToGrid/>
              <w:spacing w:line="560" w:lineRule="exact"/>
              <w:textAlignment w:val="auto"/>
              <w:rPr>
                <w:color w:val="auto"/>
                <w:kern w:val="0"/>
                <w:sz w:val="20"/>
              </w:rPr>
            </w:pPr>
            <w:r>
              <w:rPr>
                <w:rFonts w:hint="eastAsia"/>
                <w:color w:val="auto"/>
                <w:kern w:val="0"/>
                <w:sz w:val="20"/>
              </w:rPr>
              <w:t>（本列数据的勾稽关系为：第一项加第二项之和，等于第三项加第四项之和）</w:t>
            </w:r>
          </w:p>
        </w:tc>
        <w:tc>
          <w:tcPr>
            <w:tcW w:w="4961" w:type="dxa"/>
            <w:gridSpan w:val="7"/>
            <w:vAlign w:val="center"/>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color w:val="auto"/>
                <w:kern w:val="0"/>
                <w:sz w:val="20"/>
                <w:szCs w:val="21"/>
              </w:rPr>
            </w:pPr>
            <w:r>
              <w:rPr>
                <w:rFonts w:hint="eastAsia"/>
                <w:color w:val="auto"/>
                <w:kern w:val="0"/>
                <w:sz w:val="20"/>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820" w:type="dxa"/>
            <w:gridSpan w:val="3"/>
            <w:vMerge w:val="continue"/>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textAlignment w:val="auto"/>
              <w:rPr>
                <w:color w:val="auto"/>
                <w:kern w:val="0"/>
                <w:sz w:val="20"/>
              </w:rPr>
            </w:pPr>
          </w:p>
        </w:tc>
        <w:tc>
          <w:tcPr>
            <w:tcW w:w="567"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color w:val="auto"/>
                <w:kern w:val="0"/>
                <w:sz w:val="18"/>
                <w:szCs w:val="18"/>
              </w:rPr>
            </w:pPr>
            <w:r>
              <w:rPr>
                <w:rFonts w:hint="eastAsia"/>
                <w:color w:val="auto"/>
                <w:kern w:val="0"/>
                <w:sz w:val="20"/>
                <w:szCs w:val="21"/>
              </w:rPr>
              <w:t>自然人</w:t>
            </w:r>
          </w:p>
        </w:tc>
        <w:tc>
          <w:tcPr>
            <w:tcW w:w="3544" w:type="dxa"/>
            <w:gridSpan w:val="5"/>
            <w:vAlign w:val="center"/>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color w:val="auto"/>
                <w:kern w:val="0"/>
                <w:sz w:val="20"/>
                <w:szCs w:val="21"/>
              </w:rPr>
            </w:pPr>
            <w:r>
              <w:rPr>
                <w:rFonts w:hint="eastAsia"/>
                <w:color w:val="auto"/>
                <w:kern w:val="0"/>
                <w:sz w:val="20"/>
                <w:szCs w:val="21"/>
              </w:rPr>
              <w:t>法人或其他组织</w:t>
            </w:r>
          </w:p>
        </w:tc>
        <w:tc>
          <w:tcPr>
            <w:tcW w:w="850" w:type="dxa"/>
            <w:vMerge w:val="restart"/>
            <w:vAlign w:val="center"/>
          </w:tcPr>
          <w:p>
            <w:pPr>
              <w:keepNext w:val="0"/>
              <w:keepLines w:val="0"/>
              <w:pageBreakBefore w:val="0"/>
              <w:kinsoku/>
              <w:wordWrap/>
              <w:overflowPunct/>
              <w:topLinePunct w:val="0"/>
              <w:autoSpaceDE/>
              <w:autoSpaceDN/>
              <w:bidi w:val="0"/>
              <w:adjustRightInd/>
              <w:snapToGrid/>
              <w:spacing w:line="560" w:lineRule="exact"/>
              <w:textAlignment w:val="auto"/>
              <w:rPr>
                <w:color w:val="auto"/>
                <w:kern w:val="0"/>
                <w:sz w:val="20"/>
                <w:szCs w:val="21"/>
              </w:rPr>
            </w:pPr>
            <w:r>
              <w:rPr>
                <w:rFonts w:hint="eastAsia"/>
                <w:color w:val="auto"/>
                <w:kern w:val="0"/>
                <w:sz w:val="20"/>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820" w:type="dxa"/>
            <w:gridSpan w:val="3"/>
            <w:vMerge w:val="continue"/>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textAlignment w:val="auto"/>
              <w:rPr>
                <w:color w:val="auto"/>
                <w:kern w:val="0"/>
                <w:sz w:val="20"/>
              </w:rPr>
            </w:pPr>
          </w:p>
        </w:tc>
        <w:tc>
          <w:tcPr>
            <w:tcW w:w="567" w:type="dxa"/>
            <w:vMerge w:val="continue"/>
          </w:tcPr>
          <w:p>
            <w:pPr>
              <w:keepNext w:val="0"/>
              <w:keepLines w:val="0"/>
              <w:pageBreakBefore w:val="0"/>
              <w:kinsoku/>
              <w:wordWrap/>
              <w:overflowPunct/>
              <w:topLinePunct w:val="0"/>
              <w:autoSpaceDE/>
              <w:autoSpaceDN/>
              <w:bidi w:val="0"/>
              <w:adjustRightInd/>
              <w:snapToGrid/>
              <w:spacing w:line="560" w:lineRule="exact"/>
              <w:ind w:left="0" w:leftChars="0" w:firstLine="360" w:firstLineChars="200"/>
              <w:textAlignment w:val="auto"/>
              <w:rPr>
                <w:color w:val="auto"/>
                <w:kern w:val="0"/>
                <w:sz w:val="18"/>
                <w:szCs w:val="18"/>
              </w:rPr>
            </w:pP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color w:val="auto"/>
                <w:kern w:val="0"/>
                <w:sz w:val="20"/>
                <w:szCs w:val="21"/>
              </w:rPr>
            </w:pPr>
            <w:r>
              <w:rPr>
                <w:rFonts w:hint="eastAsia"/>
                <w:color w:val="auto"/>
                <w:kern w:val="0"/>
                <w:sz w:val="20"/>
                <w:szCs w:val="21"/>
              </w:rPr>
              <w:t>商业企业</w:t>
            </w:r>
          </w:p>
        </w:tc>
        <w:tc>
          <w:tcPr>
            <w:tcW w:w="708"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color w:val="auto"/>
                <w:kern w:val="0"/>
                <w:sz w:val="20"/>
                <w:szCs w:val="21"/>
              </w:rPr>
            </w:pPr>
            <w:r>
              <w:rPr>
                <w:rFonts w:hint="eastAsia"/>
                <w:color w:val="auto"/>
                <w:kern w:val="0"/>
                <w:sz w:val="20"/>
                <w:szCs w:val="21"/>
              </w:rPr>
              <w:t>科研机构</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color w:val="auto"/>
                <w:kern w:val="0"/>
                <w:sz w:val="20"/>
                <w:szCs w:val="21"/>
              </w:rPr>
            </w:pPr>
            <w:r>
              <w:rPr>
                <w:rFonts w:hint="eastAsia"/>
                <w:color w:val="auto"/>
                <w:kern w:val="0"/>
                <w:sz w:val="20"/>
                <w:szCs w:val="21"/>
              </w:rPr>
              <w:t>社会公益组织</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color w:val="auto"/>
                <w:kern w:val="0"/>
                <w:sz w:val="20"/>
                <w:szCs w:val="21"/>
              </w:rPr>
            </w:pPr>
            <w:r>
              <w:rPr>
                <w:rFonts w:hint="eastAsia"/>
                <w:color w:val="auto"/>
                <w:kern w:val="0"/>
                <w:sz w:val="20"/>
                <w:szCs w:val="21"/>
              </w:rPr>
              <w:t>法律服务机构</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textAlignment w:val="auto"/>
              <w:rPr>
                <w:color w:val="auto"/>
                <w:kern w:val="0"/>
                <w:sz w:val="20"/>
                <w:szCs w:val="21"/>
              </w:rPr>
            </w:pPr>
            <w:r>
              <w:rPr>
                <w:rFonts w:hint="eastAsia"/>
                <w:color w:val="auto"/>
                <w:kern w:val="0"/>
                <w:sz w:val="20"/>
                <w:szCs w:val="21"/>
              </w:rPr>
              <w:t>其他</w:t>
            </w:r>
          </w:p>
        </w:tc>
        <w:tc>
          <w:tcPr>
            <w:tcW w:w="850"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textAlignment w:val="auto"/>
              <w:rPr>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820" w:type="dxa"/>
            <w:gridSpan w:val="3"/>
          </w:tcPr>
          <w:p>
            <w:pPr>
              <w:keepNext w:val="0"/>
              <w:keepLines w:val="0"/>
              <w:pageBreakBefore w:val="0"/>
              <w:kinsoku/>
              <w:wordWrap/>
              <w:overflowPunct/>
              <w:topLinePunct w:val="0"/>
              <w:autoSpaceDE/>
              <w:autoSpaceDN/>
              <w:bidi w:val="0"/>
              <w:adjustRightInd/>
              <w:snapToGrid/>
              <w:spacing w:line="560" w:lineRule="exact"/>
              <w:jc w:val="both"/>
              <w:textAlignment w:val="auto"/>
              <w:rPr>
                <w:color w:val="auto"/>
                <w:kern w:val="0"/>
                <w:sz w:val="20"/>
              </w:rPr>
            </w:pPr>
            <w:r>
              <w:rPr>
                <w:rFonts w:hint="eastAsia"/>
                <w:color w:val="auto"/>
                <w:kern w:val="0"/>
                <w:sz w:val="20"/>
              </w:rPr>
              <w:t>一、本年新收政府信息公开申请数量</w:t>
            </w:r>
          </w:p>
        </w:tc>
        <w:tc>
          <w:tcPr>
            <w:tcW w:w="567"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宋体"/>
                <w:color w:val="auto"/>
                <w:kern w:val="0"/>
                <w:sz w:val="20"/>
                <w:szCs w:val="21"/>
                <w:lang w:val="en-US" w:eastAsia="zh-CN"/>
              </w:rPr>
            </w:pPr>
            <w:r>
              <w:rPr>
                <w:rFonts w:hint="eastAsia"/>
                <w:color w:val="auto"/>
                <w:kern w:val="0"/>
                <w:sz w:val="20"/>
                <w:szCs w:val="21"/>
                <w:lang w:val="en-US" w:eastAsia="zh-CN"/>
              </w:rPr>
              <w:t>0</w:t>
            </w:r>
          </w:p>
        </w:tc>
        <w:tc>
          <w:tcPr>
            <w:tcW w:w="708"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szCs w:val="21"/>
                <w:lang w:val="en-US" w:eastAsia="zh-CN"/>
              </w:rPr>
            </w:pPr>
            <w:r>
              <w:rPr>
                <w:rFonts w:hint="eastAsia"/>
                <w:color w:val="auto"/>
                <w:kern w:val="0"/>
                <w:sz w:val="20"/>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szCs w:val="21"/>
                <w:lang w:val="en-US" w:eastAsia="zh-CN"/>
              </w:rPr>
            </w:pPr>
            <w:r>
              <w:rPr>
                <w:rFonts w:hint="eastAsia"/>
                <w:color w:val="auto"/>
                <w:kern w:val="0"/>
                <w:sz w:val="20"/>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szCs w:val="21"/>
                <w:lang w:val="en-US" w:eastAsia="zh-CN"/>
              </w:rPr>
            </w:pPr>
            <w:r>
              <w:rPr>
                <w:rFonts w:hint="eastAsia"/>
                <w:color w:val="auto"/>
                <w:kern w:val="0"/>
                <w:sz w:val="20"/>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szCs w:val="21"/>
                <w:lang w:val="en-US" w:eastAsia="zh-CN"/>
              </w:rPr>
            </w:pPr>
            <w:r>
              <w:rPr>
                <w:rFonts w:hint="eastAsia"/>
                <w:color w:val="auto"/>
                <w:kern w:val="0"/>
                <w:sz w:val="20"/>
                <w:szCs w:val="21"/>
                <w:lang w:val="en-US" w:eastAsia="zh-CN"/>
              </w:rPr>
              <w:t>0</w:t>
            </w:r>
          </w:p>
        </w:tc>
        <w:tc>
          <w:tcPr>
            <w:tcW w:w="850" w:type="dxa"/>
            <w:vAlign w:val="center"/>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szCs w:val="21"/>
                <w:lang w:val="en-US" w:eastAsia="zh-CN"/>
              </w:rPr>
            </w:pPr>
            <w:r>
              <w:rPr>
                <w:rFonts w:hint="eastAsia"/>
                <w:color w:val="auto"/>
                <w:kern w:val="0"/>
                <w:sz w:val="2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20" w:type="dxa"/>
            <w:gridSpan w:val="3"/>
          </w:tcPr>
          <w:p>
            <w:pPr>
              <w:keepNext w:val="0"/>
              <w:keepLines w:val="0"/>
              <w:pageBreakBefore w:val="0"/>
              <w:kinsoku/>
              <w:wordWrap/>
              <w:overflowPunct/>
              <w:topLinePunct w:val="0"/>
              <w:autoSpaceDE/>
              <w:autoSpaceDN/>
              <w:bidi w:val="0"/>
              <w:adjustRightInd/>
              <w:snapToGrid/>
              <w:spacing w:line="560" w:lineRule="exact"/>
              <w:jc w:val="both"/>
              <w:textAlignment w:val="auto"/>
              <w:rPr>
                <w:color w:val="auto"/>
                <w:kern w:val="0"/>
                <w:sz w:val="20"/>
              </w:rPr>
            </w:pPr>
            <w:r>
              <w:rPr>
                <w:rFonts w:hint="eastAsia"/>
                <w:color w:val="auto"/>
                <w:kern w:val="0"/>
                <w:sz w:val="20"/>
              </w:rPr>
              <w:t>二、上年结转政府信息公开申请数量</w:t>
            </w:r>
          </w:p>
        </w:tc>
        <w:tc>
          <w:tcPr>
            <w:tcW w:w="567"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8"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850"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color w:val="auto"/>
                <w:kern w:val="0"/>
                <w:sz w:val="20"/>
              </w:rPr>
            </w:pPr>
            <w:r>
              <w:rPr>
                <w:rFonts w:hint="eastAsia"/>
                <w:color w:val="auto"/>
                <w:kern w:val="0"/>
                <w:sz w:val="20"/>
                <w:lang w:eastAsia="zh-CN"/>
              </w:rPr>
              <w:t>三、</w:t>
            </w:r>
            <w:r>
              <w:rPr>
                <w:rFonts w:hint="eastAsia"/>
                <w:color w:val="auto"/>
                <w:kern w:val="0"/>
                <w:sz w:val="20"/>
              </w:rPr>
              <w:t>本年度办理结果</w:t>
            </w:r>
          </w:p>
        </w:tc>
        <w:tc>
          <w:tcPr>
            <w:tcW w:w="4253" w:type="dxa"/>
            <w:gridSpan w:val="2"/>
          </w:tcPr>
          <w:p>
            <w:pPr>
              <w:keepNext w:val="0"/>
              <w:keepLines w:val="0"/>
              <w:pageBreakBefore w:val="0"/>
              <w:kinsoku/>
              <w:wordWrap/>
              <w:overflowPunct/>
              <w:topLinePunct w:val="0"/>
              <w:autoSpaceDE/>
              <w:autoSpaceDN/>
              <w:bidi w:val="0"/>
              <w:adjustRightInd/>
              <w:snapToGrid/>
              <w:spacing w:line="560" w:lineRule="exact"/>
              <w:jc w:val="both"/>
              <w:textAlignment w:val="auto"/>
              <w:rPr>
                <w:rFonts w:asciiTheme="minorEastAsia" w:hAnsiTheme="minorEastAsia"/>
                <w:color w:val="auto"/>
                <w:kern w:val="0"/>
                <w:sz w:val="18"/>
                <w:szCs w:val="18"/>
              </w:rPr>
            </w:pPr>
            <w:r>
              <w:rPr>
                <w:rFonts w:hint="eastAsia" w:asciiTheme="minorEastAsia" w:hAnsiTheme="minorEastAsia"/>
                <w:color w:val="auto"/>
                <w:kern w:val="0"/>
                <w:sz w:val="18"/>
                <w:szCs w:val="18"/>
              </w:rPr>
              <w:t>（一）予以公开</w:t>
            </w:r>
          </w:p>
        </w:tc>
        <w:tc>
          <w:tcPr>
            <w:tcW w:w="567"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8"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850"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color w:val="auto"/>
                <w:kern w:val="0"/>
                <w:sz w:val="20"/>
              </w:rPr>
            </w:pPr>
          </w:p>
        </w:tc>
        <w:tc>
          <w:tcPr>
            <w:tcW w:w="4253" w:type="dxa"/>
            <w:gridSpan w:val="2"/>
          </w:tcPr>
          <w:p>
            <w:pPr>
              <w:keepNext w:val="0"/>
              <w:keepLines w:val="0"/>
              <w:pageBreakBefore w:val="0"/>
              <w:kinsoku/>
              <w:wordWrap/>
              <w:overflowPunct/>
              <w:topLinePunct w:val="0"/>
              <w:autoSpaceDE/>
              <w:autoSpaceDN/>
              <w:bidi w:val="0"/>
              <w:adjustRightInd/>
              <w:snapToGrid/>
              <w:spacing w:line="560" w:lineRule="exact"/>
              <w:jc w:val="both"/>
              <w:textAlignment w:val="auto"/>
              <w:rPr>
                <w:rFonts w:asciiTheme="minorEastAsia" w:hAnsiTheme="minorEastAsia"/>
                <w:color w:val="auto"/>
                <w:kern w:val="0"/>
                <w:sz w:val="18"/>
                <w:szCs w:val="18"/>
              </w:rPr>
            </w:pPr>
            <w:r>
              <w:rPr>
                <w:rFonts w:hint="eastAsia" w:asciiTheme="minorEastAsia" w:hAnsiTheme="minorEastAsia"/>
                <w:color w:val="auto"/>
                <w:kern w:val="0"/>
                <w:sz w:val="18"/>
                <w:szCs w:val="18"/>
              </w:rPr>
              <w:t>（二）部分公开（区分处理的，只计这一情形，不计其他情形）</w:t>
            </w:r>
          </w:p>
        </w:tc>
        <w:tc>
          <w:tcPr>
            <w:tcW w:w="567"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8"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850"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67" w:type="dxa"/>
            <w:vMerge w:val="continue"/>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color w:val="auto"/>
                <w:kern w:val="0"/>
                <w:sz w:val="20"/>
              </w:rPr>
            </w:pPr>
          </w:p>
        </w:tc>
        <w:tc>
          <w:tcPr>
            <w:tcW w:w="1560"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Theme="minorEastAsia" w:hAnsiTheme="minorEastAsia"/>
                <w:color w:val="auto"/>
                <w:kern w:val="0"/>
                <w:sz w:val="18"/>
                <w:szCs w:val="18"/>
              </w:rPr>
            </w:pPr>
            <w:r>
              <w:rPr>
                <w:rFonts w:hint="eastAsia" w:asciiTheme="minorEastAsia" w:hAnsiTheme="minorEastAsia"/>
                <w:color w:val="auto"/>
                <w:kern w:val="0"/>
                <w:sz w:val="18"/>
                <w:szCs w:val="18"/>
              </w:rPr>
              <w:t>（三）不予公开</w:t>
            </w:r>
          </w:p>
        </w:tc>
        <w:tc>
          <w:tcPr>
            <w:tcW w:w="2693"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asciiTheme="minorEastAsia" w:hAnsiTheme="minorEastAsia"/>
                <w:color w:val="auto"/>
                <w:kern w:val="0"/>
                <w:sz w:val="18"/>
                <w:szCs w:val="18"/>
              </w:rPr>
            </w:pPr>
            <w:r>
              <w:rPr>
                <w:rFonts w:asciiTheme="minorEastAsia" w:hAnsiTheme="minorEastAsia"/>
                <w:color w:val="auto"/>
                <w:kern w:val="0"/>
                <w:sz w:val="18"/>
                <w:szCs w:val="18"/>
              </w:rPr>
              <w:t>1</w:t>
            </w:r>
            <w:r>
              <w:rPr>
                <w:rFonts w:hint="eastAsia" w:asciiTheme="minorEastAsia" w:hAnsiTheme="minorEastAsia"/>
                <w:color w:val="auto"/>
                <w:kern w:val="0"/>
                <w:sz w:val="18"/>
                <w:szCs w:val="18"/>
              </w:rPr>
              <w:t>．属于国家秘密</w:t>
            </w:r>
          </w:p>
        </w:tc>
        <w:tc>
          <w:tcPr>
            <w:tcW w:w="567"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8"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850"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67" w:type="dxa"/>
            <w:vMerge w:val="continue"/>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color w:val="auto"/>
                <w:kern w:val="0"/>
                <w:sz w:val="20"/>
              </w:rPr>
            </w:pPr>
          </w:p>
        </w:tc>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leftChars="0" w:firstLine="360" w:firstLineChars="200"/>
              <w:jc w:val="center"/>
              <w:textAlignment w:val="auto"/>
              <w:rPr>
                <w:rFonts w:asciiTheme="minorEastAsia" w:hAnsiTheme="minorEastAsia"/>
                <w:color w:val="auto"/>
                <w:kern w:val="0"/>
                <w:sz w:val="18"/>
                <w:szCs w:val="18"/>
              </w:rPr>
            </w:pPr>
          </w:p>
        </w:tc>
        <w:tc>
          <w:tcPr>
            <w:tcW w:w="2693"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asciiTheme="minorEastAsia" w:hAnsiTheme="minorEastAsia"/>
                <w:color w:val="auto"/>
                <w:kern w:val="0"/>
                <w:sz w:val="18"/>
                <w:szCs w:val="18"/>
              </w:rPr>
            </w:pPr>
            <w:r>
              <w:rPr>
                <w:rFonts w:hint="eastAsia" w:asciiTheme="minorEastAsia" w:hAnsiTheme="minorEastAsia"/>
                <w:color w:val="auto"/>
                <w:kern w:val="0"/>
                <w:sz w:val="18"/>
                <w:szCs w:val="18"/>
              </w:rPr>
              <w:t>2．其他法律行政法规禁止公开</w:t>
            </w:r>
          </w:p>
        </w:tc>
        <w:tc>
          <w:tcPr>
            <w:tcW w:w="567"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8"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850"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67" w:type="dxa"/>
            <w:vMerge w:val="continue"/>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color w:val="auto"/>
                <w:kern w:val="0"/>
                <w:sz w:val="20"/>
              </w:rPr>
            </w:pPr>
          </w:p>
        </w:tc>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leftChars="0" w:firstLine="360" w:firstLineChars="200"/>
              <w:jc w:val="center"/>
              <w:textAlignment w:val="auto"/>
              <w:rPr>
                <w:color w:val="auto"/>
                <w:kern w:val="0"/>
                <w:sz w:val="18"/>
                <w:szCs w:val="18"/>
              </w:rPr>
            </w:pPr>
          </w:p>
        </w:tc>
        <w:tc>
          <w:tcPr>
            <w:tcW w:w="2693"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asciiTheme="minorEastAsia" w:hAnsiTheme="minorEastAsia"/>
                <w:color w:val="auto"/>
                <w:kern w:val="0"/>
                <w:sz w:val="18"/>
                <w:szCs w:val="18"/>
              </w:rPr>
            </w:pPr>
            <w:r>
              <w:rPr>
                <w:rFonts w:hint="eastAsia" w:asciiTheme="minorEastAsia" w:hAnsiTheme="minorEastAsia"/>
                <w:color w:val="auto"/>
                <w:kern w:val="0"/>
                <w:sz w:val="18"/>
                <w:szCs w:val="18"/>
              </w:rPr>
              <w:t>3．危及“三安全一稳定”</w:t>
            </w:r>
          </w:p>
        </w:tc>
        <w:tc>
          <w:tcPr>
            <w:tcW w:w="567"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8"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850"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67" w:type="dxa"/>
            <w:vMerge w:val="continue"/>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color w:val="auto"/>
                <w:kern w:val="0"/>
                <w:sz w:val="20"/>
              </w:rPr>
            </w:pPr>
          </w:p>
        </w:tc>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leftChars="0" w:firstLine="360" w:firstLineChars="200"/>
              <w:jc w:val="center"/>
              <w:textAlignment w:val="auto"/>
              <w:rPr>
                <w:color w:val="auto"/>
                <w:kern w:val="0"/>
                <w:sz w:val="18"/>
                <w:szCs w:val="18"/>
              </w:rPr>
            </w:pPr>
          </w:p>
        </w:tc>
        <w:tc>
          <w:tcPr>
            <w:tcW w:w="2693"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asciiTheme="minorEastAsia" w:hAnsiTheme="minorEastAsia"/>
                <w:color w:val="auto"/>
                <w:kern w:val="0"/>
                <w:sz w:val="18"/>
                <w:szCs w:val="18"/>
              </w:rPr>
            </w:pPr>
            <w:r>
              <w:rPr>
                <w:rFonts w:hint="eastAsia" w:asciiTheme="minorEastAsia" w:hAnsiTheme="minorEastAsia"/>
                <w:color w:val="auto"/>
                <w:kern w:val="0"/>
                <w:sz w:val="18"/>
                <w:szCs w:val="18"/>
              </w:rPr>
              <w:t>4．保护第三方合法权益</w:t>
            </w:r>
          </w:p>
        </w:tc>
        <w:tc>
          <w:tcPr>
            <w:tcW w:w="567"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8"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850"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color w:val="auto"/>
                <w:kern w:val="0"/>
                <w:sz w:val="20"/>
              </w:rPr>
            </w:pPr>
          </w:p>
        </w:tc>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leftChars="0" w:firstLine="360" w:firstLineChars="200"/>
              <w:jc w:val="center"/>
              <w:textAlignment w:val="auto"/>
              <w:rPr>
                <w:color w:val="auto"/>
                <w:kern w:val="0"/>
                <w:sz w:val="18"/>
                <w:szCs w:val="18"/>
              </w:rPr>
            </w:pPr>
          </w:p>
        </w:tc>
        <w:tc>
          <w:tcPr>
            <w:tcW w:w="2693"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asciiTheme="minorEastAsia" w:hAnsiTheme="minorEastAsia"/>
                <w:color w:val="auto"/>
                <w:kern w:val="0"/>
                <w:sz w:val="18"/>
                <w:szCs w:val="18"/>
              </w:rPr>
            </w:pPr>
            <w:r>
              <w:rPr>
                <w:rFonts w:hint="eastAsia" w:asciiTheme="minorEastAsia" w:hAnsiTheme="minorEastAsia"/>
                <w:color w:val="auto"/>
                <w:kern w:val="0"/>
                <w:sz w:val="18"/>
                <w:szCs w:val="18"/>
              </w:rPr>
              <w:t>5．属于三类内部事务信息</w:t>
            </w:r>
          </w:p>
        </w:tc>
        <w:tc>
          <w:tcPr>
            <w:tcW w:w="567"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8"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850"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67" w:type="dxa"/>
            <w:vMerge w:val="continue"/>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color w:val="auto"/>
                <w:kern w:val="0"/>
                <w:sz w:val="20"/>
              </w:rPr>
            </w:pPr>
          </w:p>
        </w:tc>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leftChars="0" w:firstLine="360" w:firstLineChars="200"/>
              <w:jc w:val="center"/>
              <w:textAlignment w:val="auto"/>
              <w:rPr>
                <w:color w:val="auto"/>
                <w:kern w:val="0"/>
                <w:sz w:val="18"/>
                <w:szCs w:val="18"/>
              </w:rPr>
            </w:pPr>
          </w:p>
        </w:tc>
        <w:tc>
          <w:tcPr>
            <w:tcW w:w="2693"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asciiTheme="minorEastAsia" w:hAnsiTheme="minorEastAsia"/>
                <w:color w:val="auto"/>
                <w:kern w:val="0"/>
                <w:sz w:val="18"/>
                <w:szCs w:val="18"/>
              </w:rPr>
            </w:pPr>
            <w:r>
              <w:rPr>
                <w:rFonts w:hint="eastAsia" w:asciiTheme="minorEastAsia" w:hAnsiTheme="minorEastAsia"/>
                <w:color w:val="auto"/>
                <w:kern w:val="0"/>
                <w:sz w:val="18"/>
                <w:szCs w:val="18"/>
              </w:rPr>
              <w:t>6．属于四类过程性信息</w:t>
            </w:r>
          </w:p>
        </w:tc>
        <w:tc>
          <w:tcPr>
            <w:tcW w:w="567"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8"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850"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vMerge w:val="continue"/>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color w:val="auto"/>
                <w:kern w:val="0"/>
                <w:sz w:val="20"/>
              </w:rPr>
            </w:pPr>
          </w:p>
        </w:tc>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leftChars="0" w:firstLine="360" w:firstLineChars="200"/>
              <w:jc w:val="center"/>
              <w:textAlignment w:val="auto"/>
              <w:rPr>
                <w:color w:val="auto"/>
                <w:kern w:val="0"/>
                <w:sz w:val="18"/>
                <w:szCs w:val="18"/>
              </w:rPr>
            </w:pPr>
          </w:p>
        </w:tc>
        <w:tc>
          <w:tcPr>
            <w:tcW w:w="2693"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asciiTheme="minorEastAsia" w:hAnsiTheme="minorEastAsia"/>
                <w:color w:val="auto"/>
                <w:kern w:val="0"/>
                <w:sz w:val="18"/>
                <w:szCs w:val="18"/>
              </w:rPr>
            </w:pPr>
            <w:r>
              <w:rPr>
                <w:rFonts w:hint="eastAsia" w:asciiTheme="minorEastAsia" w:hAnsiTheme="minorEastAsia"/>
                <w:color w:val="auto"/>
                <w:kern w:val="0"/>
                <w:sz w:val="18"/>
                <w:szCs w:val="18"/>
              </w:rPr>
              <w:t>7．属于行政执法案卷</w:t>
            </w:r>
          </w:p>
        </w:tc>
        <w:tc>
          <w:tcPr>
            <w:tcW w:w="567"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8"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850"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67" w:type="dxa"/>
            <w:vMerge w:val="continue"/>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color w:val="auto"/>
                <w:kern w:val="0"/>
                <w:sz w:val="20"/>
              </w:rPr>
            </w:pPr>
          </w:p>
        </w:tc>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leftChars="0" w:firstLine="360" w:firstLineChars="200"/>
              <w:jc w:val="center"/>
              <w:textAlignment w:val="auto"/>
              <w:rPr>
                <w:color w:val="auto"/>
                <w:kern w:val="0"/>
                <w:sz w:val="18"/>
                <w:szCs w:val="18"/>
              </w:rPr>
            </w:pPr>
          </w:p>
        </w:tc>
        <w:tc>
          <w:tcPr>
            <w:tcW w:w="2693"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asciiTheme="minorEastAsia" w:hAnsiTheme="minorEastAsia"/>
                <w:color w:val="auto"/>
                <w:kern w:val="0"/>
                <w:sz w:val="18"/>
                <w:szCs w:val="18"/>
              </w:rPr>
            </w:pPr>
            <w:r>
              <w:rPr>
                <w:rFonts w:hint="eastAsia" w:asciiTheme="minorEastAsia" w:hAnsiTheme="minorEastAsia"/>
                <w:color w:val="auto"/>
                <w:kern w:val="0"/>
                <w:sz w:val="18"/>
                <w:szCs w:val="18"/>
              </w:rPr>
              <w:t>8．属于行政查询事项</w:t>
            </w:r>
          </w:p>
        </w:tc>
        <w:tc>
          <w:tcPr>
            <w:tcW w:w="567"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8"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850"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67" w:type="dxa"/>
            <w:vMerge w:val="continue"/>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color w:val="auto"/>
                <w:kern w:val="0"/>
                <w:sz w:val="20"/>
              </w:rPr>
            </w:pPr>
          </w:p>
        </w:tc>
        <w:tc>
          <w:tcPr>
            <w:tcW w:w="1560"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color w:val="auto"/>
                <w:kern w:val="0"/>
                <w:sz w:val="18"/>
                <w:szCs w:val="18"/>
              </w:rPr>
            </w:pPr>
            <w:r>
              <w:rPr>
                <w:rFonts w:hint="eastAsia"/>
                <w:color w:val="auto"/>
                <w:kern w:val="0"/>
                <w:sz w:val="18"/>
                <w:szCs w:val="18"/>
              </w:rPr>
              <w:t>（四）无法提供</w:t>
            </w:r>
          </w:p>
        </w:tc>
        <w:tc>
          <w:tcPr>
            <w:tcW w:w="2693"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asciiTheme="minorEastAsia" w:hAnsiTheme="minorEastAsia"/>
                <w:color w:val="auto"/>
                <w:kern w:val="0"/>
                <w:sz w:val="18"/>
                <w:szCs w:val="18"/>
              </w:rPr>
            </w:pPr>
            <w:r>
              <w:rPr>
                <w:rFonts w:hint="eastAsia" w:asciiTheme="minorEastAsia" w:hAnsiTheme="minorEastAsia"/>
                <w:color w:val="auto"/>
                <w:kern w:val="0"/>
                <w:sz w:val="18"/>
                <w:szCs w:val="18"/>
              </w:rPr>
              <w:t>1．本机关不掌握相关政府信息</w:t>
            </w:r>
          </w:p>
        </w:tc>
        <w:tc>
          <w:tcPr>
            <w:tcW w:w="567"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8"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850"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67" w:type="dxa"/>
            <w:vMerge w:val="continue"/>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color w:val="auto"/>
                <w:kern w:val="0"/>
                <w:sz w:val="20"/>
              </w:rPr>
            </w:pPr>
          </w:p>
        </w:tc>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leftChars="0" w:firstLine="360" w:firstLineChars="200"/>
              <w:jc w:val="center"/>
              <w:textAlignment w:val="auto"/>
              <w:rPr>
                <w:color w:val="auto"/>
                <w:kern w:val="0"/>
                <w:sz w:val="18"/>
                <w:szCs w:val="18"/>
              </w:rPr>
            </w:pPr>
          </w:p>
        </w:tc>
        <w:tc>
          <w:tcPr>
            <w:tcW w:w="2693"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asciiTheme="minorEastAsia" w:hAnsiTheme="minorEastAsia"/>
                <w:color w:val="auto"/>
                <w:kern w:val="0"/>
                <w:sz w:val="18"/>
                <w:szCs w:val="18"/>
              </w:rPr>
            </w:pPr>
            <w:r>
              <w:rPr>
                <w:rFonts w:hint="eastAsia" w:asciiTheme="minorEastAsia" w:hAnsiTheme="minorEastAsia"/>
                <w:color w:val="auto"/>
                <w:kern w:val="0"/>
                <w:sz w:val="18"/>
                <w:szCs w:val="18"/>
              </w:rPr>
              <w:t>2．没有现成信息需要另行制作</w:t>
            </w:r>
          </w:p>
        </w:tc>
        <w:tc>
          <w:tcPr>
            <w:tcW w:w="567"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8"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850"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color w:val="auto"/>
                <w:kern w:val="0"/>
                <w:sz w:val="20"/>
              </w:rPr>
            </w:pPr>
          </w:p>
        </w:tc>
        <w:tc>
          <w:tcPr>
            <w:tcW w:w="1560"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leftChars="0" w:firstLine="360" w:firstLineChars="200"/>
              <w:jc w:val="center"/>
              <w:textAlignment w:val="auto"/>
              <w:rPr>
                <w:color w:val="auto"/>
                <w:kern w:val="0"/>
                <w:sz w:val="18"/>
                <w:szCs w:val="18"/>
              </w:rPr>
            </w:pPr>
          </w:p>
        </w:tc>
        <w:tc>
          <w:tcPr>
            <w:tcW w:w="2693"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asciiTheme="minorEastAsia" w:hAnsiTheme="minorEastAsia"/>
                <w:color w:val="auto"/>
                <w:kern w:val="0"/>
                <w:sz w:val="18"/>
                <w:szCs w:val="18"/>
              </w:rPr>
            </w:pPr>
            <w:r>
              <w:rPr>
                <w:rFonts w:hint="eastAsia" w:asciiTheme="minorEastAsia" w:hAnsiTheme="minorEastAsia"/>
                <w:color w:val="auto"/>
                <w:kern w:val="0"/>
                <w:sz w:val="18"/>
                <w:szCs w:val="18"/>
              </w:rPr>
              <w:t>3．补正后申请内容仍不明确</w:t>
            </w:r>
          </w:p>
        </w:tc>
        <w:tc>
          <w:tcPr>
            <w:tcW w:w="567"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8"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850"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67" w:type="dxa"/>
            <w:vMerge w:val="continue"/>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color w:val="auto"/>
                <w:kern w:val="0"/>
                <w:sz w:val="20"/>
              </w:rPr>
            </w:pPr>
          </w:p>
        </w:tc>
        <w:tc>
          <w:tcPr>
            <w:tcW w:w="1560"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color w:val="auto"/>
                <w:kern w:val="0"/>
                <w:sz w:val="18"/>
                <w:szCs w:val="18"/>
              </w:rPr>
            </w:pPr>
            <w:r>
              <w:rPr>
                <w:rFonts w:hint="eastAsia"/>
                <w:color w:val="auto"/>
                <w:kern w:val="0"/>
                <w:sz w:val="18"/>
                <w:szCs w:val="18"/>
              </w:rPr>
              <w:t>（五）</w:t>
            </w:r>
            <w:r>
              <w:rPr>
                <w:rFonts w:hint="eastAsia" w:asciiTheme="minorEastAsia" w:hAnsiTheme="minorEastAsia"/>
                <w:color w:val="auto"/>
                <w:kern w:val="0"/>
                <w:sz w:val="18"/>
                <w:szCs w:val="18"/>
              </w:rPr>
              <w:t>不予处理</w:t>
            </w:r>
          </w:p>
        </w:tc>
        <w:tc>
          <w:tcPr>
            <w:tcW w:w="2693"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asciiTheme="minorEastAsia" w:hAnsiTheme="minorEastAsia"/>
                <w:color w:val="auto"/>
                <w:kern w:val="0"/>
                <w:sz w:val="18"/>
                <w:szCs w:val="18"/>
              </w:rPr>
            </w:pPr>
            <w:r>
              <w:rPr>
                <w:rFonts w:hint="eastAsia" w:asciiTheme="minorEastAsia" w:hAnsiTheme="minorEastAsia"/>
                <w:color w:val="auto"/>
                <w:kern w:val="0"/>
                <w:sz w:val="18"/>
                <w:szCs w:val="18"/>
              </w:rPr>
              <w:t>1．信访举报投诉类申请</w:t>
            </w:r>
          </w:p>
        </w:tc>
        <w:tc>
          <w:tcPr>
            <w:tcW w:w="567"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8"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850"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color w:val="auto"/>
                <w:kern w:val="0"/>
                <w:sz w:val="20"/>
              </w:rPr>
            </w:pPr>
          </w:p>
        </w:tc>
        <w:tc>
          <w:tcPr>
            <w:tcW w:w="1560" w:type="dxa"/>
            <w:vMerge w:val="continue"/>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color w:val="auto"/>
                <w:kern w:val="0"/>
                <w:sz w:val="20"/>
              </w:rPr>
            </w:pPr>
          </w:p>
        </w:tc>
        <w:tc>
          <w:tcPr>
            <w:tcW w:w="2693"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asciiTheme="minorEastAsia" w:hAnsiTheme="minorEastAsia"/>
                <w:color w:val="auto"/>
                <w:kern w:val="0"/>
                <w:sz w:val="18"/>
                <w:szCs w:val="18"/>
              </w:rPr>
            </w:pPr>
            <w:r>
              <w:rPr>
                <w:rFonts w:hint="eastAsia" w:asciiTheme="minorEastAsia" w:hAnsiTheme="minorEastAsia"/>
                <w:color w:val="auto"/>
                <w:kern w:val="0"/>
                <w:sz w:val="18"/>
                <w:szCs w:val="18"/>
              </w:rPr>
              <w:t>2．重复申请</w:t>
            </w:r>
          </w:p>
        </w:tc>
        <w:tc>
          <w:tcPr>
            <w:tcW w:w="567"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8"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850"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67" w:type="dxa"/>
            <w:vMerge w:val="continue"/>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color w:val="auto"/>
                <w:kern w:val="0"/>
                <w:sz w:val="20"/>
              </w:rPr>
            </w:pPr>
          </w:p>
        </w:tc>
        <w:tc>
          <w:tcPr>
            <w:tcW w:w="1560" w:type="dxa"/>
            <w:vMerge w:val="continue"/>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color w:val="auto"/>
                <w:kern w:val="0"/>
                <w:sz w:val="20"/>
              </w:rPr>
            </w:pPr>
          </w:p>
        </w:tc>
        <w:tc>
          <w:tcPr>
            <w:tcW w:w="2693"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asciiTheme="minorEastAsia" w:hAnsiTheme="minorEastAsia"/>
                <w:color w:val="auto"/>
                <w:kern w:val="0"/>
                <w:sz w:val="18"/>
                <w:szCs w:val="18"/>
              </w:rPr>
            </w:pPr>
            <w:r>
              <w:rPr>
                <w:rFonts w:asciiTheme="minorEastAsia" w:hAnsiTheme="minorEastAsia"/>
                <w:color w:val="auto"/>
                <w:kern w:val="0"/>
                <w:sz w:val="18"/>
                <w:szCs w:val="18"/>
              </w:rPr>
              <w:t>3</w:t>
            </w:r>
            <w:r>
              <w:rPr>
                <w:rFonts w:hint="eastAsia" w:asciiTheme="minorEastAsia" w:hAnsiTheme="minorEastAsia"/>
                <w:color w:val="auto"/>
                <w:kern w:val="0"/>
                <w:sz w:val="18"/>
                <w:szCs w:val="18"/>
              </w:rPr>
              <w:t>．要求提供公开出版物</w:t>
            </w:r>
          </w:p>
        </w:tc>
        <w:tc>
          <w:tcPr>
            <w:tcW w:w="567"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8"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850"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67" w:type="dxa"/>
            <w:vMerge w:val="continue"/>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color w:val="auto"/>
                <w:kern w:val="0"/>
                <w:sz w:val="20"/>
              </w:rPr>
            </w:pPr>
          </w:p>
        </w:tc>
        <w:tc>
          <w:tcPr>
            <w:tcW w:w="1560" w:type="dxa"/>
            <w:vMerge w:val="continue"/>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color w:val="auto"/>
                <w:kern w:val="0"/>
                <w:sz w:val="20"/>
              </w:rPr>
            </w:pPr>
          </w:p>
        </w:tc>
        <w:tc>
          <w:tcPr>
            <w:tcW w:w="2693" w:type="dxa"/>
          </w:tcPr>
          <w:p>
            <w:pPr>
              <w:keepNext w:val="0"/>
              <w:keepLines w:val="0"/>
              <w:pageBreakBefore w:val="0"/>
              <w:kinsoku/>
              <w:wordWrap/>
              <w:overflowPunct/>
              <w:topLinePunct w:val="0"/>
              <w:autoSpaceDE/>
              <w:autoSpaceDN/>
              <w:bidi w:val="0"/>
              <w:adjustRightInd/>
              <w:snapToGrid/>
              <w:spacing w:line="560" w:lineRule="exact"/>
              <w:jc w:val="both"/>
              <w:textAlignment w:val="auto"/>
              <w:rPr>
                <w:rFonts w:asciiTheme="minorEastAsia" w:hAnsiTheme="minorEastAsia"/>
                <w:color w:val="auto"/>
                <w:kern w:val="0"/>
                <w:sz w:val="18"/>
                <w:szCs w:val="18"/>
              </w:rPr>
            </w:pPr>
            <w:r>
              <w:rPr>
                <w:rFonts w:hint="eastAsia" w:asciiTheme="minorEastAsia" w:hAnsiTheme="minorEastAsia"/>
                <w:color w:val="auto"/>
                <w:kern w:val="0"/>
                <w:sz w:val="18"/>
                <w:szCs w:val="18"/>
              </w:rPr>
              <w:t>4．无正当理由大量反复申请</w:t>
            </w:r>
          </w:p>
        </w:tc>
        <w:tc>
          <w:tcPr>
            <w:tcW w:w="567"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8"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850"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textAlignment w:val="auto"/>
              <w:rPr>
                <w:color w:val="auto"/>
                <w:kern w:val="0"/>
                <w:sz w:val="20"/>
              </w:rPr>
            </w:pPr>
          </w:p>
        </w:tc>
        <w:tc>
          <w:tcPr>
            <w:tcW w:w="1560" w:type="dxa"/>
            <w:vMerge w:val="continue"/>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textAlignment w:val="auto"/>
              <w:rPr>
                <w:color w:val="auto"/>
                <w:kern w:val="0"/>
                <w:sz w:val="20"/>
              </w:rPr>
            </w:pPr>
          </w:p>
        </w:tc>
        <w:tc>
          <w:tcPr>
            <w:tcW w:w="2693" w:type="dxa"/>
          </w:tcPr>
          <w:p>
            <w:pPr>
              <w:keepNext w:val="0"/>
              <w:keepLines w:val="0"/>
              <w:pageBreakBefore w:val="0"/>
              <w:kinsoku/>
              <w:wordWrap/>
              <w:overflowPunct/>
              <w:topLinePunct w:val="0"/>
              <w:autoSpaceDE/>
              <w:autoSpaceDN/>
              <w:bidi w:val="0"/>
              <w:adjustRightInd/>
              <w:snapToGrid/>
              <w:spacing w:line="560" w:lineRule="exact"/>
              <w:textAlignment w:val="auto"/>
              <w:rPr>
                <w:rFonts w:asciiTheme="minorEastAsia" w:hAnsiTheme="minorEastAsia"/>
                <w:color w:val="auto"/>
                <w:kern w:val="0"/>
                <w:sz w:val="18"/>
                <w:szCs w:val="18"/>
              </w:rPr>
            </w:pPr>
            <w:r>
              <w:rPr>
                <w:rFonts w:hint="eastAsia" w:asciiTheme="minorEastAsia" w:hAnsiTheme="minorEastAsia"/>
                <w:color w:val="auto"/>
                <w:kern w:val="0"/>
                <w:sz w:val="18"/>
                <w:szCs w:val="18"/>
              </w:rPr>
              <w:t>5．要求行政机关确认或重新出具已获取信息</w:t>
            </w:r>
          </w:p>
        </w:tc>
        <w:tc>
          <w:tcPr>
            <w:tcW w:w="567"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8"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850"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67"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textAlignment w:val="auto"/>
              <w:rPr>
                <w:color w:val="auto"/>
                <w:kern w:val="0"/>
                <w:sz w:val="20"/>
              </w:rPr>
            </w:pPr>
          </w:p>
        </w:tc>
        <w:tc>
          <w:tcPr>
            <w:tcW w:w="4253" w:type="dxa"/>
            <w:gridSpan w:val="2"/>
            <w:vAlign w:val="center"/>
          </w:tcPr>
          <w:p>
            <w:pPr>
              <w:keepNext w:val="0"/>
              <w:keepLines w:val="0"/>
              <w:pageBreakBefore w:val="0"/>
              <w:kinsoku/>
              <w:wordWrap/>
              <w:overflowPunct/>
              <w:topLinePunct w:val="0"/>
              <w:autoSpaceDE/>
              <w:autoSpaceDN/>
              <w:bidi w:val="0"/>
              <w:adjustRightInd/>
              <w:snapToGrid/>
              <w:spacing w:line="560" w:lineRule="exact"/>
              <w:textAlignment w:val="auto"/>
              <w:rPr>
                <w:color w:val="auto"/>
                <w:kern w:val="0"/>
                <w:sz w:val="18"/>
                <w:szCs w:val="18"/>
              </w:rPr>
            </w:pPr>
            <w:r>
              <w:rPr>
                <w:rFonts w:hint="eastAsia"/>
                <w:color w:val="auto"/>
                <w:kern w:val="0"/>
                <w:sz w:val="18"/>
                <w:szCs w:val="18"/>
              </w:rPr>
              <w:t>（六）其他处理</w:t>
            </w:r>
          </w:p>
        </w:tc>
        <w:tc>
          <w:tcPr>
            <w:tcW w:w="567"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8"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850"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67"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textAlignment w:val="auto"/>
              <w:rPr>
                <w:color w:val="auto"/>
                <w:kern w:val="0"/>
                <w:sz w:val="20"/>
              </w:rPr>
            </w:pPr>
          </w:p>
        </w:tc>
        <w:tc>
          <w:tcPr>
            <w:tcW w:w="4253" w:type="dxa"/>
            <w:gridSpan w:val="2"/>
            <w:vAlign w:val="center"/>
          </w:tcPr>
          <w:p>
            <w:pPr>
              <w:keepNext w:val="0"/>
              <w:keepLines w:val="0"/>
              <w:pageBreakBefore w:val="0"/>
              <w:kinsoku/>
              <w:wordWrap/>
              <w:overflowPunct/>
              <w:topLinePunct w:val="0"/>
              <w:autoSpaceDE/>
              <w:autoSpaceDN/>
              <w:bidi w:val="0"/>
              <w:adjustRightInd/>
              <w:snapToGrid/>
              <w:spacing w:line="560" w:lineRule="exact"/>
              <w:textAlignment w:val="auto"/>
              <w:rPr>
                <w:color w:val="auto"/>
                <w:kern w:val="0"/>
                <w:sz w:val="18"/>
                <w:szCs w:val="18"/>
              </w:rPr>
            </w:pPr>
            <w:r>
              <w:rPr>
                <w:rFonts w:hint="eastAsia"/>
                <w:color w:val="auto"/>
                <w:kern w:val="0"/>
                <w:sz w:val="18"/>
                <w:szCs w:val="18"/>
              </w:rPr>
              <w:t>（七）总计</w:t>
            </w:r>
          </w:p>
        </w:tc>
        <w:tc>
          <w:tcPr>
            <w:tcW w:w="567"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8"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850"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0" w:type="dxa"/>
            <w:gridSpan w:val="3"/>
            <w:vAlign w:val="center"/>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textAlignment w:val="auto"/>
              <w:rPr>
                <w:color w:val="auto"/>
                <w:kern w:val="0"/>
                <w:sz w:val="20"/>
              </w:rPr>
            </w:pPr>
            <w:r>
              <w:rPr>
                <w:rFonts w:hint="eastAsia"/>
                <w:color w:val="auto"/>
                <w:kern w:val="0"/>
                <w:sz w:val="20"/>
              </w:rPr>
              <w:t>四、结转下年度继续办理</w:t>
            </w:r>
          </w:p>
        </w:tc>
        <w:tc>
          <w:tcPr>
            <w:tcW w:w="567"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8"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709"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c>
          <w:tcPr>
            <w:tcW w:w="850" w:type="dxa"/>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rFonts w:hint="eastAsia" w:eastAsia="宋体"/>
                <w:color w:val="auto"/>
                <w:kern w:val="0"/>
                <w:sz w:val="20"/>
                <w:lang w:val="en-US" w:eastAsia="zh-CN"/>
              </w:rPr>
            </w:pPr>
            <w:r>
              <w:rPr>
                <w:rFonts w:hint="eastAsia"/>
                <w:color w:val="auto"/>
                <w:kern w:val="0"/>
                <w:sz w:val="20"/>
                <w:lang w:val="en-US" w:eastAsia="zh-CN"/>
              </w:rPr>
              <w:t>0</w:t>
            </w:r>
          </w:p>
        </w:tc>
      </w:tr>
    </w:tbl>
    <w:p>
      <w:pPr>
        <w:pStyle w:val="9"/>
        <w:keepNext w:val="0"/>
        <w:keepLines w:val="0"/>
        <w:pageBreakBefore w:val="0"/>
        <w:widowControl/>
        <w:kinsoku/>
        <w:wordWrap/>
        <w:overflowPunct/>
        <w:topLinePunct w:val="0"/>
        <w:autoSpaceDE/>
        <w:autoSpaceDN/>
        <w:bidi w:val="0"/>
        <w:adjustRightInd/>
        <w:snapToGrid/>
        <w:spacing w:after="0" w:line="560" w:lineRule="exact"/>
        <w:textAlignment w:val="auto"/>
        <w:rPr>
          <w:rFonts w:ascii="仿宋_GB2312" w:hAnsi="仿宋" w:eastAsia="仿宋_GB2312" w:cs="仿宋"/>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ascii="黑体" w:hAnsi="黑体" w:eastAsia="黑体"/>
          <w:color w:val="auto"/>
          <w:kern w:val="22"/>
          <w:sz w:val="32"/>
          <w:szCs w:val="32"/>
        </w:rPr>
      </w:pPr>
      <w:r>
        <w:rPr>
          <w:rFonts w:hint="eastAsia" w:ascii="黑体" w:hAnsi="黑体" w:eastAsia="黑体"/>
          <w:color w:val="auto"/>
          <w:kern w:val="22"/>
          <w:sz w:val="32"/>
          <w:szCs w:val="32"/>
        </w:rPr>
        <w:t>四、政府信息公开行政复议、行政诉讼情况</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ascii="黑体" w:hAnsi="黑体" w:eastAsia="黑体"/>
          <w:color w:val="auto"/>
          <w:kern w:val="22"/>
          <w:sz w:val="32"/>
          <w:szCs w:val="32"/>
        </w:rPr>
      </w:pPr>
      <w:r>
        <w:rPr>
          <w:rFonts w:hint="eastAsia" w:ascii="仿宋" w:hAnsi="仿宋" w:eastAsia="仿宋" w:cs="宋体"/>
          <w:color w:val="auto"/>
          <w:kern w:val="0"/>
          <w:sz w:val="32"/>
          <w:szCs w:val="32"/>
        </w:rPr>
        <w:t>20</w:t>
      </w:r>
      <w:r>
        <w:rPr>
          <w:rFonts w:hint="eastAsia" w:ascii="仿宋" w:hAnsi="仿宋" w:eastAsia="仿宋" w:cs="宋体"/>
          <w:color w:val="auto"/>
          <w:kern w:val="0"/>
          <w:sz w:val="32"/>
          <w:szCs w:val="32"/>
          <w:lang w:val="en-US" w:eastAsia="zh-CN"/>
        </w:rPr>
        <w:t>20</w:t>
      </w:r>
      <w:r>
        <w:rPr>
          <w:rFonts w:hint="eastAsia" w:ascii="仿宋" w:hAnsi="仿宋" w:eastAsia="仿宋" w:cs="宋体"/>
          <w:color w:val="auto"/>
          <w:kern w:val="0"/>
          <w:sz w:val="32"/>
          <w:szCs w:val="32"/>
        </w:rPr>
        <w:t>年，全县各级行政机关因政府信息公开引起的行政复议</w:t>
      </w:r>
      <w:r>
        <w:rPr>
          <w:rFonts w:hint="eastAsia" w:ascii="仿宋" w:hAnsi="仿宋" w:eastAsia="仿宋" w:cs="宋体"/>
          <w:color w:val="auto"/>
          <w:kern w:val="0"/>
          <w:sz w:val="32"/>
          <w:szCs w:val="32"/>
          <w:u w:val="single"/>
        </w:rPr>
        <w:t>0</w:t>
      </w:r>
      <w:r>
        <w:rPr>
          <w:rFonts w:hint="eastAsia" w:ascii="仿宋" w:hAnsi="仿宋" w:eastAsia="仿宋" w:cs="宋体"/>
          <w:color w:val="auto"/>
          <w:kern w:val="0"/>
          <w:sz w:val="32"/>
          <w:szCs w:val="32"/>
        </w:rPr>
        <w:t>件，行政诉讼</w:t>
      </w:r>
      <w:r>
        <w:rPr>
          <w:rFonts w:hint="eastAsia" w:ascii="仿宋" w:hAnsi="仿宋" w:eastAsia="仿宋" w:cs="宋体"/>
          <w:color w:val="auto"/>
          <w:kern w:val="0"/>
          <w:sz w:val="32"/>
          <w:szCs w:val="32"/>
          <w:u w:val="single"/>
        </w:rPr>
        <w:t>0</w:t>
      </w:r>
      <w:r>
        <w:rPr>
          <w:rFonts w:hint="eastAsia" w:ascii="仿宋" w:hAnsi="仿宋" w:eastAsia="仿宋" w:cs="宋体"/>
          <w:color w:val="auto"/>
          <w:kern w:val="0"/>
          <w:sz w:val="32"/>
          <w:szCs w:val="32"/>
        </w:rPr>
        <w:t>件。</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ascii="黑体" w:hAnsi="黑体" w:eastAsia="黑体"/>
          <w:color w:val="auto"/>
          <w:kern w:val="22"/>
          <w:sz w:val="32"/>
          <w:szCs w:val="32"/>
        </w:rPr>
      </w:pPr>
    </w:p>
    <w:tbl>
      <w:tblPr>
        <w:tblStyle w:val="11"/>
        <w:tblW w:w="1020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8"/>
        <w:gridCol w:w="709"/>
        <w:gridCol w:w="682"/>
        <w:gridCol w:w="594"/>
        <w:gridCol w:w="709"/>
        <w:gridCol w:w="709"/>
        <w:gridCol w:w="709"/>
        <w:gridCol w:w="708"/>
        <w:gridCol w:w="567"/>
        <w:gridCol w:w="851"/>
        <w:gridCol w:w="650"/>
        <w:gridCol w:w="767"/>
        <w:gridCol w:w="709"/>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402" w:type="dxa"/>
            <w:gridSpan w:val="5"/>
            <w:vAlign w:val="center"/>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color w:val="auto"/>
                <w:kern w:val="0"/>
                <w:sz w:val="20"/>
                <w:szCs w:val="21"/>
              </w:rPr>
            </w:pPr>
            <w:r>
              <w:rPr>
                <w:rFonts w:hint="eastAsia"/>
                <w:color w:val="auto"/>
                <w:kern w:val="0"/>
                <w:sz w:val="20"/>
                <w:szCs w:val="21"/>
              </w:rPr>
              <w:t>行政复议</w:t>
            </w:r>
          </w:p>
        </w:tc>
        <w:tc>
          <w:tcPr>
            <w:tcW w:w="6804" w:type="dxa"/>
            <w:gridSpan w:val="10"/>
            <w:vAlign w:val="center"/>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color w:val="auto"/>
                <w:kern w:val="0"/>
                <w:sz w:val="20"/>
                <w:szCs w:val="21"/>
              </w:rPr>
            </w:pPr>
            <w:r>
              <w:rPr>
                <w:rFonts w:hint="eastAsia"/>
                <w:color w:val="auto"/>
                <w:kern w:val="0"/>
                <w:sz w:val="20"/>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9"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color w:val="auto"/>
                <w:kern w:val="0"/>
                <w:sz w:val="20"/>
                <w:szCs w:val="21"/>
              </w:rPr>
            </w:pPr>
            <w:r>
              <w:rPr>
                <w:rFonts w:hint="eastAsia"/>
                <w:color w:val="auto"/>
                <w:kern w:val="0"/>
                <w:sz w:val="20"/>
                <w:szCs w:val="21"/>
                <w:lang w:eastAsia="zh-CN"/>
              </w:rPr>
              <w:t>结</w:t>
            </w:r>
            <w:r>
              <w:rPr>
                <w:rFonts w:hint="eastAsia"/>
                <w:color w:val="auto"/>
                <w:kern w:val="0"/>
                <w:sz w:val="20"/>
                <w:szCs w:val="21"/>
              </w:rPr>
              <w:t>果维持</w:t>
            </w:r>
          </w:p>
        </w:tc>
        <w:tc>
          <w:tcPr>
            <w:tcW w:w="708"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color w:val="auto"/>
                <w:kern w:val="0"/>
                <w:sz w:val="20"/>
                <w:szCs w:val="21"/>
              </w:rPr>
            </w:pPr>
            <w:r>
              <w:rPr>
                <w:rFonts w:hint="eastAsia"/>
                <w:color w:val="auto"/>
                <w:kern w:val="0"/>
                <w:sz w:val="20"/>
                <w:szCs w:val="21"/>
              </w:rPr>
              <w:t>结果纠正</w:t>
            </w:r>
          </w:p>
        </w:tc>
        <w:tc>
          <w:tcPr>
            <w:tcW w:w="709"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color w:val="auto"/>
                <w:kern w:val="0"/>
                <w:sz w:val="20"/>
                <w:szCs w:val="21"/>
              </w:rPr>
            </w:pPr>
            <w:r>
              <w:rPr>
                <w:rFonts w:hint="eastAsia"/>
                <w:color w:val="auto"/>
                <w:kern w:val="0"/>
                <w:sz w:val="20"/>
                <w:szCs w:val="21"/>
              </w:rPr>
              <w:t>其他结果</w:t>
            </w:r>
          </w:p>
        </w:tc>
        <w:tc>
          <w:tcPr>
            <w:tcW w:w="682"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color w:val="auto"/>
                <w:kern w:val="0"/>
                <w:sz w:val="20"/>
                <w:szCs w:val="21"/>
              </w:rPr>
            </w:pPr>
            <w:r>
              <w:rPr>
                <w:rFonts w:hint="eastAsia"/>
                <w:color w:val="auto"/>
                <w:kern w:val="0"/>
                <w:sz w:val="20"/>
                <w:szCs w:val="21"/>
              </w:rPr>
              <w:t>尚未审结</w:t>
            </w:r>
          </w:p>
        </w:tc>
        <w:tc>
          <w:tcPr>
            <w:tcW w:w="594" w:type="dxa"/>
            <w:vMerge w:val="restart"/>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color w:val="auto"/>
                <w:kern w:val="0"/>
                <w:sz w:val="20"/>
                <w:szCs w:val="21"/>
              </w:rPr>
            </w:pPr>
            <w:r>
              <w:rPr>
                <w:rFonts w:hint="eastAsia"/>
                <w:color w:val="auto"/>
                <w:kern w:val="0"/>
                <w:sz w:val="20"/>
                <w:szCs w:val="21"/>
              </w:rPr>
              <w:t>总计</w:t>
            </w:r>
          </w:p>
        </w:tc>
        <w:tc>
          <w:tcPr>
            <w:tcW w:w="3402" w:type="dxa"/>
            <w:gridSpan w:val="5"/>
            <w:vAlign w:val="center"/>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color w:val="auto"/>
                <w:kern w:val="0"/>
                <w:sz w:val="20"/>
                <w:szCs w:val="21"/>
              </w:rPr>
            </w:pPr>
            <w:r>
              <w:rPr>
                <w:rFonts w:hint="eastAsia"/>
                <w:color w:val="auto"/>
                <w:kern w:val="0"/>
                <w:sz w:val="20"/>
                <w:szCs w:val="21"/>
              </w:rPr>
              <w:t>未经复议直接起诉</w:t>
            </w:r>
          </w:p>
        </w:tc>
        <w:tc>
          <w:tcPr>
            <w:tcW w:w="3402" w:type="dxa"/>
            <w:gridSpan w:val="5"/>
            <w:vAlign w:val="center"/>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color w:val="auto"/>
                <w:kern w:val="0"/>
                <w:sz w:val="20"/>
                <w:szCs w:val="21"/>
              </w:rPr>
            </w:pPr>
            <w:r>
              <w:rPr>
                <w:rFonts w:hint="eastAsia"/>
                <w:color w:val="auto"/>
                <w:kern w:val="0"/>
                <w:sz w:val="20"/>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leftChars="0" w:firstLine="360" w:firstLineChars="200"/>
              <w:jc w:val="center"/>
              <w:textAlignment w:val="auto"/>
              <w:rPr>
                <w:color w:val="auto"/>
                <w:kern w:val="0"/>
                <w:sz w:val="18"/>
                <w:szCs w:val="18"/>
              </w:rPr>
            </w:pPr>
          </w:p>
        </w:tc>
        <w:tc>
          <w:tcPr>
            <w:tcW w:w="708"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leftChars="0" w:firstLine="360" w:firstLineChars="200"/>
              <w:jc w:val="center"/>
              <w:textAlignment w:val="auto"/>
              <w:rPr>
                <w:color w:val="auto"/>
                <w:kern w:val="0"/>
                <w:sz w:val="18"/>
                <w:szCs w:val="18"/>
              </w:rPr>
            </w:pPr>
          </w:p>
        </w:tc>
        <w:tc>
          <w:tcPr>
            <w:tcW w:w="709"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leftChars="0" w:firstLine="360" w:firstLineChars="200"/>
              <w:jc w:val="center"/>
              <w:textAlignment w:val="auto"/>
              <w:rPr>
                <w:color w:val="auto"/>
                <w:kern w:val="0"/>
                <w:sz w:val="18"/>
                <w:szCs w:val="18"/>
              </w:rPr>
            </w:pPr>
          </w:p>
        </w:tc>
        <w:tc>
          <w:tcPr>
            <w:tcW w:w="682"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color w:val="auto"/>
                <w:kern w:val="0"/>
                <w:sz w:val="20"/>
                <w:szCs w:val="21"/>
              </w:rPr>
            </w:pPr>
          </w:p>
        </w:tc>
        <w:tc>
          <w:tcPr>
            <w:tcW w:w="594" w:type="dxa"/>
            <w:vMerge w:val="continue"/>
            <w:vAlign w:val="center"/>
          </w:tcPr>
          <w:p>
            <w:pPr>
              <w:keepNext w:val="0"/>
              <w:keepLines w:val="0"/>
              <w:pageBreakBefore w:val="0"/>
              <w:kinsoku/>
              <w:wordWrap/>
              <w:overflowPunct/>
              <w:topLinePunct w:val="0"/>
              <w:autoSpaceDE/>
              <w:autoSpaceDN/>
              <w:bidi w:val="0"/>
              <w:adjustRightInd/>
              <w:snapToGrid/>
              <w:spacing w:line="560" w:lineRule="exact"/>
              <w:ind w:left="0" w:leftChars="0" w:firstLine="400" w:firstLineChars="200"/>
              <w:jc w:val="center"/>
              <w:textAlignment w:val="auto"/>
              <w:rPr>
                <w:color w:val="auto"/>
                <w:kern w:val="0"/>
                <w:sz w:val="20"/>
                <w:szCs w:val="21"/>
              </w:rPr>
            </w:pP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color w:val="auto"/>
                <w:kern w:val="0"/>
                <w:sz w:val="20"/>
                <w:szCs w:val="21"/>
              </w:rPr>
            </w:pPr>
            <w:r>
              <w:rPr>
                <w:rFonts w:hint="eastAsia"/>
                <w:color w:val="auto"/>
                <w:kern w:val="0"/>
                <w:sz w:val="20"/>
                <w:szCs w:val="21"/>
              </w:rPr>
              <w:t>结果维持</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color w:val="auto"/>
                <w:kern w:val="0"/>
                <w:sz w:val="20"/>
                <w:szCs w:val="21"/>
              </w:rPr>
            </w:pPr>
            <w:r>
              <w:rPr>
                <w:rFonts w:hint="eastAsia"/>
                <w:color w:val="auto"/>
                <w:kern w:val="0"/>
                <w:sz w:val="20"/>
                <w:szCs w:val="21"/>
              </w:rPr>
              <w:t>结果纠正</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color w:val="auto"/>
                <w:kern w:val="0"/>
                <w:sz w:val="20"/>
                <w:szCs w:val="21"/>
              </w:rPr>
            </w:pPr>
            <w:r>
              <w:rPr>
                <w:rFonts w:hint="eastAsia"/>
                <w:color w:val="auto"/>
                <w:kern w:val="0"/>
                <w:sz w:val="20"/>
                <w:szCs w:val="21"/>
              </w:rPr>
              <w:t>其他结果</w:t>
            </w:r>
          </w:p>
        </w:tc>
        <w:tc>
          <w:tcPr>
            <w:tcW w:w="708"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color w:val="auto"/>
                <w:kern w:val="0"/>
                <w:sz w:val="20"/>
                <w:szCs w:val="21"/>
              </w:rPr>
            </w:pPr>
            <w:r>
              <w:rPr>
                <w:rFonts w:hint="eastAsia"/>
                <w:color w:val="auto"/>
                <w:kern w:val="0"/>
                <w:sz w:val="20"/>
                <w:szCs w:val="21"/>
              </w:rPr>
              <w:t>尚未审结</w:t>
            </w:r>
          </w:p>
        </w:tc>
        <w:tc>
          <w:tcPr>
            <w:tcW w:w="567"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color w:val="auto"/>
                <w:kern w:val="0"/>
                <w:sz w:val="20"/>
                <w:szCs w:val="21"/>
              </w:rPr>
            </w:pPr>
            <w:r>
              <w:rPr>
                <w:rFonts w:hint="eastAsia"/>
                <w:color w:val="auto"/>
                <w:kern w:val="0"/>
                <w:sz w:val="20"/>
                <w:szCs w:val="21"/>
              </w:rPr>
              <w:t>总计</w:t>
            </w:r>
          </w:p>
        </w:tc>
        <w:tc>
          <w:tcPr>
            <w:tcW w:w="851"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color w:val="auto"/>
                <w:kern w:val="0"/>
                <w:sz w:val="20"/>
                <w:szCs w:val="21"/>
              </w:rPr>
            </w:pPr>
            <w:r>
              <w:rPr>
                <w:rFonts w:hint="eastAsia"/>
                <w:color w:val="auto"/>
                <w:kern w:val="0"/>
                <w:sz w:val="20"/>
                <w:szCs w:val="21"/>
              </w:rPr>
              <w:t>结果维持</w:t>
            </w:r>
          </w:p>
        </w:tc>
        <w:tc>
          <w:tcPr>
            <w:tcW w:w="650"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color w:val="auto"/>
                <w:kern w:val="0"/>
                <w:sz w:val="20"/>
                <w:szCs w:val="21"/>
              </w:rPr>
            </w:pPr>
            <w:r>
              <w:rPr>
                <w:rFonts w:hint="eastAsia"/>
                <w:color w:val="auto"/>
                <w:kern w:val="0"/>
                <w:sz w:val="20"/>
                <w:szCs w:val="21"/>
              </w:rPr>
              <w:t>结果纠正</w:t>
            </w:r>
          </w:p>
        </w:tc>
        <w:tc>
          <w:tcPr>
            <w:tcW w:w="767"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color w:val="auto"/>
                <w:kern w:val="0"/>
                <w:sz w:val="20"/>
                <w:szCs w:val="21"/>
              </w:rPr>
            </w:pPr>
            <w:r>
              <w:rPr>
                <w:rFonts w:hint="eastAsia"/>
                <w:color w:val="auto"/>
                <w:kern w:val="0"/>
                <w:sz w:val="20"/>
                <w:szCs w:val="21"/>
              </w:rPr>
              <w:t>其他结果</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color w:val="auto"/>
                <w:kern w:val="0"/>
                <w:sz w:val="20"/>
                <w:szCs w:val="21"/>
              </w:rPr>
            </w:pPr>
            <w:r>
              <w:rPr>
                <w:rFonts w:hint="eastAsia"/>
                <w:color w:val="auto"/>
                <w:kern w:val="0"/>
                <w:sz w:val="20"/>
                <w:szCs w:val="21"/>
              </w:rPr>
              <w:t>尚未审结</w:t>
            </w:r>
          </w:p>
        </w:tc>
        <w:tc>
          <w:tcPr>
            <w:tcW w:w="425"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color w:val="auto"/>
                <w:kern w:val="0"/>
                <w:sz w:val="20"/>
                <w:szCs w:val="21"/>
              </w:rPr>
            </w:pPr>
            <w:r>
              <w:rPr>
                <w:rFonts w:hint="eastAsia"/>
                <w:color w:val="auto"/>
                <w:kern w:val="0"/>
                <w:sz w:val="20"/>
                <w:szCs w:val="21"/>
                <w:lang w:eastAsia="zh-CN"/>
              </w:rPr>
              <w:t>合</w:t>
            </w:r>
            <w:r>
              <w:rPr>
                <w:rFonts w:hint="eastAsia"/>
                <w:color w:val="auto"/>
                <w:kern w:val="0"/>
                <w:sz w:val="20"/>
                <w:szCs w:val="21"/>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09"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eastAsia="宋体"/>
                <w:color w:val="auto"/>
                <w:kern w:val="0"/>
                <w:sz w:val="18"/>
                <w:szCs w:val="18"/>
                <w:lang w:val="en-US" w:eastAsia="zh-CN"/>
              </w:rPr>
            </w:pPr>
            <w:r>
              <w:rPr>
                <w:rFonts w:hint="eastAsia"/>
                <w:color w:val="auto"/>
                <w:kern w:val="0"/>
                <w:sz w:val="18"/>
                <w:szCs w:val="18"/>
                <w:lang w:val="en-US" w:eastAsia="zh-CN"/>
              </w:rPr>
              <w:t>0</w:t>
            </w:r>
          </w:p>
        </w:tc>
        <w:tc>
          <w:tcPr>
            <w:tcW w:w="708"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eastAsia="宋体"/>
                <w:color w:val="auto"/>
                <w:kern w:val="0"/>
                <w:sz w:val="18"/>
                <w:szCs w:val="18"/>
                <w:lang w:val="en-US" w:eastAsia="zh-CN"/>
              </w:rPr>
            </w:pPr>
            <w:r>
              <w:rPr>
                <w:rFonts w:hint="eastAsia"/>
                <w:color w:val="auto"/>
                <w:kern w:val="0"/>
                <w:sz w:val="18"/>
                <w:szCs w:val="18"/>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eastAsia="宋体"/>
                <w:color w:val="auto"/>
                <w:kern w:val="0"/>
                <w:sz w:val="18"/>
                <w:szCs w:val="18"/>
                <w:lang w:val="en-US" w:eastAsia="zh-CN"/>
              </w:rPr>
            </w:pPr>
            <w:r>
              <w:rPr>
                <w:rFonts w:hint="eastAsia"/>
                <w:color w:val="auto"/>
                <w:kern w:val="0"/>
                <w:sz w:val="18"/>
                <w:szCs w:val="18"/>
                <w:lang w:val="en-US" w:eastAsia="zh-CN"/>
              </w:rPr>
              <w:t>0</w:t>
            </w:r>
          </w:p>
        </w:tc>
        <w:tc>
          <w:tcPr>
            <w:tcW w:w="682"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eastAsia="宋体"/>
                <w:color w:val="auto"/>
                <w:kern w:val="0"/>
                <w:sz w:val="20"/>
                <w:szCs w:val="21"/>
                <w:lang w:val="en-US" w:eastAsia="zh-CN"/>
              </w:rPr>
            </w:pPr>
            <w:r>
              <w:rPr>
                <w:rFonts w:hint="eastAsia"/>
                <w:color w:val="auto"/>
                <w:kern w:val="0"/>
                <w:sz w:val="20"/>
                <w:szCs w:val="21"/>
                <w:lang w:val="en-US" w:eastAsia="zh-CN"/>
              </w:rPr>
              <w:t>0</w:t>
            </w:r>
          </w:p>
        </w:tc>
        <w:tc>
          <w:tcPr>
            <w:tcW w:w="594"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eastAsia="宋体"/>
                <w:color w:val="auto"/>
                <w:kern w:val="0"/>
                <w:sz w:val="20"/>
                <w:szCs w:val="21"/>
                <w:lang w:val="en-US" w:eastAsia="zh-CN"/>
              </w:rPr>
            </w:pPr>
            <w:r>
              <w:rPr>
                <w:rFonts w:hint="eastAsia"/>
                <w:color w:val="auto"/>
                <w:kern w:val="0"/>
                <w:sz w:val="20"/>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eastAsia="宋体"/>
                <w:color w:val="auto"/>
                <w:kern w:val="0"/>
                <w:sz w:val="20"/>
                <w:szCs w:val="21"/>
                <w:lang w:val="en-US" w:eastAsia="zh-CN"/>
              </w:rPr>
            </w:pPr>
            <w:r>
              <w:rPr>
                <w:rFonts w:hint="eastAsia"/>
                <w:color w:val="auto"/>
                <w:kern w:val="0"/>
                <w:sz w:val="20"/>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eastAsia="宋体"/>
                <w:color w:val="auto"/>
                <w:kern w:val="0"/>
                <w:sz w:val="20"/>
                <w:szCs w:val="21"/>
                <w:lang w:val="en-US" w:eastAsia="zh-CN"/>
              </w:rPr>
            </w:pPr>
            <w:r>
              <w:rPr>
                <w:rFonts w:hint="eastAsia"/>
                <w:color w:val="auto"/>
                <w:kern w:val="0"/>
                <w:sz w:val="20"/>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eastAsia="宋体"/>
                <w:color w:val="auto"/>
                <w:kern w:val="0"/>
                <w:sz w:val="20"/>
                <w:szCs w:val="21"/>
                <w:lang w:val="en-US" w:eastAsia="zh-CN"/>
              </w:rPr>
            </w:pPr>
            <w:r>
              <w:rPr>
                <w:rFonts w:hint="eastAsia"/>
                <w:color w:val="auto"/>
                <w:kern w:val="0"/>
                <w:sz w:val="20"/>
                <w:szCs w:val="21"/>
                <w:lang w:val="en-US" w:eastAsia="zh-CN"/>
              </w:rPr>
              <w:t>0</w:t>
            </w:r>
          </w:p>
        </w:tc>
        <w:tc>
          <w:tcPr>
            <w:tcW w:w="708"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eastAsia="宋体"/>
                <w:color w:val="auto"/>
                <w:kern w:val="0"/>
                <w:sz w:val="20"/>
                <w:szCs w:val="21"/>
                <w:lang w:val="en-US" w:eastAsia="zh-CN"/>
              </w:rPr>
            </w:pPr>
            <w:r>
              <w:rPr>
                <w:rFonts w:hint="eastAsia"/>
                <w:color w:val="auto"/>
                <w:kern w:val="0"/>
                <w:sz w:val="20"/>
                <w:szCs w:val="21"/>
                <w:lang w:val="en-US" w:eastAsia="zh-CN"/>
              </w:rPr>
              <w:t>0</w:t>
            </w:r>
          </w:p>
        </w:tc>
        <w:tc>
          <w:tcPr>
            <w:tcW w:w="567"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eastAsia="宋体"/>
                <w:color w:val="auto"/>
                <w:kern w:val="0"/>
                <w:sz w:val="20"/>
                <w:szCs w:val="21"/>
                <w:lang w:val="en-US" w:eastAsia="zh-CN"/>
              </w:rPr>
            </w:pPr>
            <w:r>
              <w:rPr>
                <w:rFonts w:hint="eastAsia"/>
                <w:color w:val="auto"/>
                <w:kern w:val="0"/>
                <w:sz w:val="20"/>
                <w:szCs w:val="21"/>
                <w:lang w:val="en-US" w:eastAsia="zh-CN"/>
              </w:rPr>
              <w:t>0</w:t>
            </w:r>
          </w:p>
        </w:tc>
        <w:tc>
          <w:tcPr>
            <w:tcW w:w="851"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eastAsia="宋体"/>
                <w:color w:val="auto"/>
                <w:kern w:val="0"/>
                <w:sz w:val="20"/>
                <w:szCs w:val="21"/>
                <w:lang w:val="en-US" w:eastAsia="zh-CN"/>
              </w:rPr>
            </w:pPr>
            <w:r>
              <w:rPr>
                <w:rFonts w:hint="eastAsia"/>
                <w:color w:val="auto"/>
                <w:kern w:val="0"/>
                <w:sz w:val="20"/>
                <w:szCs w:val="21"/>
                <w:lang w:val="en-US" w:eastAsia="zh-CN"/>
              </w:rPr>
              <w:t>0</w:t>
            </w:r>
          </w:p>
        </w:tc>
        <w:tc>
          <w:tcPr>
            <w:tcW w:w="650"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eastAsia="宋体"/>
                <w:color w:val="auto"/>
                <w:kern w:val="0"/>
                <w:sz w:val="20"/>
                <w:szCs w:val="21"/>
                <w:lang w:val="en-US" w:eastAsia="zh-CN"/>
              </w:rPr>
            </w:pPr>
            <w:r>
              <w:rPr>
                <w:rFonts w:hint="eastAsia"/>
                <w:color w:val="auto"/>
                <w:kern w:val="0"/>
                <w:sz w:val="20"/>
                <w:szCs w:val="21"/>
                <w:lang w:val="en-US" w:eastAsia="zh-CN"/>
              </w:rPr>
              <w:t>0</w:t>
            </w:r>
          </w:p>
        </w:tc>
        <w:tc>
          <w:tcPr>
            <w:tcW w:w="767"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eastAsia="宋体"/>
                <w:color w:val="auto"/>
                <w:kern w:val="0"/>
                <w:sz w:val="20"/>
                <w:szCs w:val="21"/>
                <w:lang w:val="en-US" w:eastAsia="zh-CN"/>
              </w:rPr>
            </w:pPr>
            <w:r>
              <w:rPr>
                <w:rFonts w:hint="eastAsia"/>
                <w:color w:val="auto"/>
                <w:kern w:val="0"/>
                <w:sz w:val="20"/>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eastAsia="宋体"/>
                <w:color w:val="auto"/>
                <w:kern w:val="0"/>
                <w:sz w:val="20"/>
                <w:szCs w:val="21"/>
                <w:lang w:val="en-US" w:eastAsia="zh-CN"/>
              </w:rPr>
            </w:pPr>
            <w:r>
              <w:rPr>
                <w:rFonts w:hint="eastAsia"/>
                <w:color w:val="auto"/>
                <w:kern w:val="0"/>
                <w:sz w:val="20"/>
                <w:szCs w:val="21"/>
                <w:lang w:val="en-US" w:eastAsia="zh-CN"/>
              </w:rPr>
              <w:t>0</w:t>
            </w:r>
          </w:p>
        </w:tc>
        <w:tc>
          <w:tcPr>
            <w:tcW w:w="425" w:type="dxa"/>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eastAsia="宋体"/>
                <w:color w:val="auto"/>
                <w:kern w:val="0"/>
                <w:sz w:val="20"/>
                <w:szCs w:val="21"/>
                <w:lang w:val="en-US" w:eastAsia="zh-CN"/>
              </w:rPr>
            </w:pPr>
            <w:r>
              <w:rPr>
                <w:rFonts w:hint="eastAsia"/>
                <w:color w:val="auto"/>
                <w:kern w:val="0"/>
                <w:sz w:val="20"/>
                <w:szCs w:val="21"/>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ascii="仿宋_GB2312" w:hAnsi="仿宋" w:eastAsia="仿宋_GB2312" w:cs="仿宋"/>
          <w:color w:val="auto"/>
          <w:kern w:val="0"/>
          <w:sz w:val="32"/>
          <w:szCs w:val="32"/>
        </w:rPr>
      </w:pPr>
      <w:r>
        <w:rPr>
          <w:rFonts w:hint="eastAsia" w:ascii="黑体" w:hAnsi="黑体" w:eastAsia="黑体"/>
          <w:color w:val="auto"/>
          <w:kern w:val="22"/>
          <w:sz w:val="32"/>
          <w:szCs w:val="32"/>
        </w:rPr>
        <w:t>五、存在的主要问题及改进情况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i w:val="0"/>
          <w:caps w:val="0"/>
          <w:color w:val="auto"/>
          <w:spacing w:val="0"/>
          <w:sz w:val="32"/>
          <w:szCs w:val="32"/>
          <w:shd w:val="clear" w:color="auto" w:fill="auto"/>
        </w:rPr>
      </w:pPr>
      <w:r>
        <w:rPr>
          <w:rFonts w:hint="eastAsia" w:ascii="仿宋" w:hAnsi="仿宋" w:eastAsia="仿宋" w:cs="仿宋"/>
          <w:b w:val="0"/>
          <w:i w:val="0"/>
          <w:caps w:val="0"/>
          <w:color w:val="auto"/>
          <w:spacing w:val="0"/>
          <w:sz w:val="32"/>
          <w:szCs w:val="32"/>
          <w:shd w:val="clear" w:color="auto" w:fill="auto"/>
        </w:rPr>
        <w:t>一是部分主动公开的信息内容还不够完善，部分信息的公开还不够及时，政府信息咨询服务功能还需要进一步完善。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i w:val="0"/>
          <w:caps w:val="0"/>
          <w:color w:val="auto"/>
          <w:spacing w:val="0"/>
          <w:sz w:val="32"/>
          <w:szCs w:val="32"/>
          <w:shd w:val="clear" w:color="auto" w:fill="auto"/>
        </w:rPr>
      </w:pPr>
      <w:r>
        <w:rPr>
          <w:rFonts w:hint="eastAsia" w:ascii="仿宋" w:hAnsi="仿宋" w:eastAsia="仿宋" w:cs="仿宋"/>
          <w:b w:val="0"/>
          <w:i w:val="0"/>
          <w:caps w:val="0"/>
          <w:color w:val="auto"/>
          <w:spacing w:val="0"/>
          <w:sz w:val="32"/>
          <w:szCs w:val="32"/>
          <w:shd w:val="clear" w:color="auto" w:fill="auto"/>
        </w:rPr>
        <w:t>二是信息公开形式还需要进一步丰富，信息公开程度还需要进一步拓展。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i w:val="0"/>
          <w:caps w:val="0"/>
          <w:color w:val="auto"/>
          <w:spacing w:val="0"/>
          <w:sz w:val="32"/>
          <w:szCs w:val="32"/>
          <w:shd w:val="clear" w:color="auto" w:fill="auto"/>
        </w:rPr>
      </w:pPr>
      <w:r>
        <w:rPr>
          <w:rFonts w:hint="eastAsia" w:ascii="仿宋" w:hAnsi="仿宋" w:eastAsia="仿宋" w:cs="仿宋"/>
          <w:b w:val="0"/>
          <w:i w:val="0"/>
          <w:caps w:val="0"/>
          <w:color w:val="auto"/>
          <w:spacing w:val="0"/>
          <w:sz w:val="32"/>
          <w:szCs w:val="32"/>
          <w:shd w:val="clear" w:color="auto" w:fill="auto"/>
        </w:rPr>
        <w:t>三是信息公开的工作人员的业务素质和能力还需要进一步提高。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i w:val="0"/>
          <w:caps w:val="0"/>
          <w:color w:val="auto"/>
          <w:spacing w:val="0"/>
          <w:sz w:val="32"/>
          <w:szCs w:val="32"/>
          <w:shd w:val="clear" w:color="auto" w:fill="auto"/>
        </w:rPr>
      </w:pPr>
      <w:r>
        <w:rPr>
          <w:rFonts w:hint="eastAsia" w:ascii="仿宋" w:hAnsi="仿宋" w:eastAsia="仿宋" w:cs="仿宋"/>
          <w:b w:val="0"/>
          <w:i w:val="0"/>
          <w:caps w:val="0"/>
          <w:color w:val="auto"/>
          <w:spacing w:val="0"/>
          <w:sz w:val="32"/>
          <w:szCs w:val="32"/>
          <w:shd w:val="clear" w:color="auto" w:fill="auto"/>
        </w:rPr>
        <w:t>1、拓展政府信息公开形式。积极探索并实行各种方便群众查阅、了解信息的公开方式。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i w:val="0"/>
          <w:caps w:val="0"/>
          <w:color w:val="auto"/>
          <w:spacing w:val="0"/>
          <w:sz w:val="32"/>
          <w:szCs w:val="32"/>
          <w:shd w:val="clear" w:color="auto" w:fill="auto"/>
        </w:rPr>
      </w:pPr>
      <w:r>
        <w:rPr>
          <w:rFonts w:hint="eastAsia" w:ascii="仿宋" w:hAnsi="仿宋" w:eastAsia="仿宋" w:cs="仿宋"/>
          <w:b w:val="0"/>
          <w:i w:val="0"/>
          <w:caps w:val="0"/>
          <w:color w:val="auto"/>
          <w:spacing w:val="0"/>
          <w:sz w:val="32"/>
          <w:szCs w:val="32"/>
          <w:shd w:val="clear" w:color="auto" w:fill="auto"/>
        </w:rPr>
        <w:t>2、统一认识，努力规范工作流程。我乡将按照“公开为原则，不公开为例外”的总体要求，进一步梳理政府信息，及时提供，定期维护，确保政府信息公开工作能按照既定的工作流程有效运作，公众能够方便查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i w:val="0"/>
          <w:caps w:val="0"/>
          <w:color w:val="auto"/>
          <w:spacing w:val="0"/>
          <w:sz w:val="32"/>
          <w:szCs w:val="32"/>
          <w:shd w:val="clear" w:color="auto" w:fill="auto"/>
        </w:rPr>
      </w:pPr>
      <w:r>
        <w:rPr>
          <w:rFonts w:hint="eastAsia" w:ascii="仿宋" w:hAnsi="仿宋" w:eastAsia="仿宋" w:cs="仿宋"/>
          <w:b w:val="0"/>
          <w:i w:val="0"/>
          <w:caps w:val="0"/>
          <w:color w:val="auto"/>
          <w:spacing w:val="0"/>
          <w:sz w:val="32"/>
          <w:szCs w:val="32"/>
          <w:shd w:val="clear" w:color="auto" w:fill="auto"/>
        </w:rPr>
        <w:t>3、逐步扩大公开内容。对原有的政府信息公开目录进行补充完善，保证公开信息的完整性和准确性。</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i w:val="0"/>
          <w:caps w:val="0"/>
          <w:color w:val="auto"/>
          <w:spacing w:val="0"/>
          <w:sz w:val="32"/>
          <w:szCs w:val="32"/>
          <w:shd w:val="clear" w:color="auto" w:fill="auto"/>
        </w:rPr>
      </w:pPr>
      <w:r>
        <w:rPr>
          <w:rFonts w:hint="eastAsia" w:ascii="仿宋" w:hAnsi="仿宋" w:eastAsia="仿宋" w:cs="仿宋"/>
          <w:b w:val="0"/>
          <w:i w:val="0"/>
          <w:caps w:val="0"/>
          <w:color w:val="auto"/>
          <w:spacing w:val="0"/>
          <w:sz w:val="32"/>
          <w:szCs w:val="32"/>
          <w:shd w:val="clear" w:color="auto" w:fill="auto"/>
        </w:rPr>
        <w:t>4、加强学习和培训。加强对干部职工的政府信息公开工作知识的学习和培训，不断提高政府信息公开工作的质量和水平。</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ascii="黑体" w:hAnsi="黑体" w:eastAsia="黑体"/>
          <w:color w:val="auto"/>
          <w:kern w:val="22"/>
          <w:sz w:val="32"/>
          <w:szCs w:val="32"/>
        </w:rPr>
      </w:pPr>
      <w:r>
        <w:rPr>
          <w:rFonts w:hint="eastAsia" w:ascii="黑体" w:hAnsi="黑体" w:eastAsia="黑体"/>
          <w:color w:val="auto"/>
          <w:kern w:val="22"/>
          <w:sz w:val="32"/>
          <w:szCs w:val="32"/>
        </w:rPr>
        <w:t>六、其他需要报告的事项</w:t>
      </w:r>
    </w:p>
    <w:p>
      <w:pPr>
        <w:pStyle w:val="9"/>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ascii="仿宋_GB2312" w:hAnsi="仿宋" w:eastAsia="仿宋_GB2312" w:cs="仿宋"/>
          <w:color w:val="auto"/>
          <w:sz w:val="32"/>
          <w:szCs w:val="32"/>
        </w:rPr>
      </w:pPr>
      <w:r>
        <w:rPr>
          <w:rFonts w:hint="eastAsia" w:ascii="仿宋_GB2312" w:hAnsi="仿宋" w:eastAsia="仿宋_GB2312" w:cs="仿宋"/>
          <w:color w:val="auto"/>
          <w:sz w:val="32"/>
          <w:szCs w:val="32"/>
        </w:rPr>
        <w:t>无</w:t>
      </w:r>
    </w:p>
    <w:p>
      <w:pPr>
        <w:pStyle w:val="9"/>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ascii="仿宋_GB2312" w:hAnsi="仿宋" w:eastAsia="仿宋_GB2312" w:cs="仿宋"/>
          <w:color w:val="auto"/>
          <w:sz w:val="32"/>
          <w:szCs w:val="32"/>
        </w:rPr>
      </w:pPr>
    </w:p>
    <w:p>
      <w:pPr>
        <w:pStyle w:val="9"/>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both"/>
        <w:textAlignment w:val="auto"/>
        <w:rPr>
          <w:rFonts w:ascii="仿宋_GB2312" w:hAnsi="仿宋" w:eastAsia="仿宋_GB2312" w:cs="仿宋"/>
          <w:color w:val="auto"/>
          <w:sz w:val="32"/>
          <w:szCs w:val="32"/>
        </w:rPr>
      </w:pPr>
    </w:p>
    <w:p>
      <w:pPr>
        <w:pStyle w:val="9"/>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ascii="仿宋_GB2312" w:hAnsi="仿宋" w:eastAsia="仿宋_GB2312" w:cs="仿宋"/>
          <w:color w:val="auto"/>
          <w:sz w:val="32"/>
          <w:szCs w:val="32"/>
        </w:rPr>
      </w:pPr>
    </w:p>
    <w:p>
      <w:pPr>
        <w:pStyle w:val="9"/>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right"/>
        <w:textAlignment w:val="auto"/>
        <w:rPr>
          <w:rFonts w:ascii="仿宋_GB2312" w:hAnsi="仿宋" w:eastAsia="仿宋_GB2312" w:cs="仿宋"/>
          <w:color w:val="auto"/>
          <w:sz w:val="32"/>
          <w:szCs w:val="32"/>
        </w:rPr>
      </w:pPr>
      <w:r>
        <w:rPr>
          <w:rFonts w:hint="eastAsia" w:ascii="仿宋_GB2312" w:hAnsi="仿宋" w:eastAsia="仿宋_GB2312" w:cs="仿宋"/>
          <w:color w:val="auto"/>
          <w:sz w:val="32"/>
          <w:szCs w:val="32"/>
        </w:rPr>
        <w:t>高青县卫生健康局</w:t>
      </w:r>
    </w:p>
    <w:p>
      <w:pPr>
        <w:pStyle w:val="9"/>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jc w:val="right"/>
        <w:textAlignment w:val="auto"/>
        <w:rPr>
          <w:rFonts w:ascii="仿宋_GB2312" w:hAnsi="仿宋" w:eastAsia="仿宋_GB2312" w:cs="仿宋"/>
          <w:color w:val="auto"/>
          <w:sz w:val="32"/>
          <w:szCs w:val="32"/>
        </w:rPr>
      </w:pPr>
      <w:r>
        <w:rPr>
          <w:rFonts w:hint="eastAsia" w:ascii="仿宋_GB2312" w:hAnsi="仿宋" w:eastAsia="仿宋_GB2312" w:cs="仿宋"/>
          <w:color w:val="auto"/>
          <w:sz w:val="32"/>
          <w:szCs w:val="32"/>
        </w:rPr>
        <w:t>20</w:t>
      </w:r>
      <w:r>
        <w:rPr>
          <w:rFonts w:hint="eastAsia" w:ascii="仿宋_GB2312" w:hAnsi="仿宋" w:eastAsia="仿宋_GB2312" w:cs="仿宋"/>
          <w:color w:val="auto"/>
          <w:sz w:val="32"/>
          <w:szCs w:val="32"/>
          <w:lang w:val="en-US" w:eastAsia="zh-CN"/>
        </w:rPr>
        <w:t>20</w:t>
      </w:r>
      <w:r>
        <w:rPr>
          <w:rFonts w:hint="eastAsia" w:ascii="仿宋_GB2312" w:hAnsi="仿宋" w:eastAsia="仿宋_GB2312" w:cs="仿宋"/>
          <w:color w:val="auto"/>
          <w:sz w:val="32"/>
          <w:szCs w:val="32"/>
        </w:rPr>
        <w:t>年1月1</w:t>
      </w:r>
      <w:r>
        <w:rPr>
          <w:rFonts w:hint="eastAsia" w:ascii="仿宋_GB2312" w:hAnsi="仿宋" w:eastAsia="仿宋_GB2312" w:cs="仿宋"/>
          <w:color w:val="auto"/>
          <w:sz w:val="32"/>
          <w:szCs w:val="32"/>
          <w:lang w:val="en-US" w:eastAsia="zh-CN"/>
        </w:rPr>
        <w:t>9</w:t>
      </w:r>
      <w:r>
        <w:rPr>
          <w:rFonts w:hint="eastAsia" w:ascii="仿宋_GB2312" w:hAnsi="仿宋" w:eastAsia="仿宋_GB2312" w:cs="仿宋"/>
          <w:color w:val="auto"/>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7EADD"/>
    <w:multiLevelType w:val="singleLevel"/>
    <w:tmpl w:val="99E7EAD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AB4557"/>
    <w:rsid w:val="00004CF5"/>
    <w:rsid w:val="000101FA"/>
    <w:rsid w:val="00024E42"/>
    <w:rsid w:val="000345B4"/>
    <w:rsid w:val="00035216"/>
    <w:rsid w:val="00061B07"/>
    <w:rsid w:val="0006501F"/>
    <w:rsid w:val="000C22ED"/>
    <w:rsid w:val="000D3D1E"/>
    <w:rsid w:val="000F383D"/>
    <w:rsid w:val="001215E4"/>
    <w:rsid w:val="001551B9"/>
    <w:rsid w:val="00156800"/>
    <w:rsid w:val="00165287"/>
    <w:rsid w:val="00172237"/>
    <w:rsid w:val="00177AFC"/>
    <w:rsid w:val="00195112"/>
    <w:rsid w:val="00195C7C"/>
    <w:rsid w:val="001A4452"/>
    <w:rsid w:val="001B463C"/>
    <w:rsid w:val="001C2DCD"/>
    <w:rsid w:val="001E256B"/>
    <w:rsid w:val="001E7B38"/>
    <w:rsid w:val="001F3CA4"/>
    <w:rsid w:val="001F3D15"/>
    <w:rsid w:val="001F53D4"/>
    <w:rsid w:val="00203EC3"/>
    <w:rsid w:val="00213531"/>
    <w:rsid w:val="00221CC4"/>
    <w:rsid w:val="0024441A"/>
    <w:rsid w:val="00244E3E"/>
    <w:rsid w:val="00263B33"/>
    <w:rsid w:val="002B625C"/>
    <w:rsid w:val="002C58DB"/>
    <w:rsid w:val="002E5D54"/>
    <w:rsid w:val="002E67E1"/>
    <w:rsid w:val="002F23C2"/>
    <w:rsid w:val="002F35E4"/>
    <w:rsid w:val="0031159C"/>
    <w:rsid w:val="003441BE"/>
    <w:rsid w:val="003539B4"/>
    <w:rsid w:val="00361762"/>
    <w:rsid w:val="00363DDF"/>
    <w:rsid w:val="0039205B"/>
    <w:rsid w:val="003A230F"/>
    <w:rsid w:val="003A3153"/>
    <w:rsid w:val="003A57D1"/>
    <w:rsid w:val="003B2EF6"/>
    <w:rsid w:val="003C27DE"/>
    <w:rsid w:val="003C3846"/>
    <w:rsid w:val="003E2D20"/>
    <w:rsid w:val="003F52B2"/>
    <w:rsid w:val="003F6FE9"/>
    <w:rsid w:val="004076B3"/>
    <w:rsid w:val="00410A4A"/>
    <w:rsid w:val="004155DE"/>
    <w:rsid w:val="00416BC8"/>
    <w:rsid w:val="004449B9"/>
    <w:rsid w:val="004518C4"/>
    <w:rsid w:val="0045219A"/>
    <w:rsid w:val="00455BE3"/>
    <w:rsid w:val="0045733C"/>
    <w:rsid w:val="00462BD1"/>
    <w:rsid w:val="0046641C"/>
    <w:rsid w:val="0048058E"/>
    <w:rsid w:val="004A2D10"/>
    <w:rsid w:val="004D50F5"/>
    <w:rsid w:val="004E0762"/>
    <w:rsid w:val="004E17C9"/>
    <w:rsid w:val="004E1E7F"/>
    <w:rsid w:val="004E30D9"/>
    <w:rsid w:val="004F0C56"/>
    <w:rsid w:val="005113D1"/>
    <w:rsid w:val="0051560E"/>
    <w:rsid w:val="005274E6"/>
    <w:rsid w:val="005441FD"/>
    <w:rsid w:val="00546499"/>
    <w:rsid w:val="0054791A"/>
    <w:rsid w:val="00592243"/>
    <w:rsid w:val="005930D6"/>
    <w:rsid w:val="005F2577"/>
    <w:rsid w:val="00605185"/>
    <w:rsid w:val="0062262B"/>
    <w:rsid w:val="00622752"/>
    <w:rsid w:val="006373B2"/>
    <w:rsid w:val="006457E7"/>
    <w:rsid w:val="00653E08"/>
    <w:rsid w:val="00673AB3"/>
    <w:rsid w:val="00681292"/>
    <w:rsid w:val="006854F7"/>
    <w:rsid w:val="006B416F"/>
    <w:rsid w:val="006E0DFF"/>
    <w:rsid w:val="006F1D2B"/>
    <w:rsid w:val="0071110A"/>
    <w:rsid w:val="0071441F"/>
    <w:rsid w:val="0073505F"/>
    <w:rsid w:val="0075631C"/>
    <w:rsid w:val="00773F1C"/>
    <w:rsid w:val="00776A6F"/>
    <w:rsid w:val="0078711F"/>
    <w:rsid w:val="007F701A"/>
    <w:rsid w:val="008074D5"/>
    <w:rsid w:val="00807FE9"/>
    <w:rsid w:val="008226FB"/>
    <w:rsid w:val="0082402B"/>
    <w:rsid w:val="00831B01"/>
    <w:rsid w:val="00843B00"/>
    <w:rsid w:val="008560C3"/>
    <w:rsid w:val="00893EF5"/>
    <w:rsid w:val="008A7057"/>
    <w:rsid w:val="008B43DB"/>
    <w:rsid w:val="008D04B4"/>
    <w:rsid w:val="008E7927"/>
    <w:rsid w:val="008F28A6"/>
    <w:rsid w:val="00904CA4"/>
    <w:rsid w:val="009102B2"/>
    <w:rsid w:val="009160F6"/>
    <w:rsid w:val="009231FA"/>
    <w:rsid w:val="009413F6"/>
    <w:rsid w:val="00973EB1"/>
    <w:rsid w:val="009A72A5"/>
    <w:rsid w:val="009B314C"/>
    <w:rsid w:val="009B6A99"/>
    <w:rsid w:val="009C1854"/>
    <w:rsid w:val="009C7FFB"/>
    <w:rsid w:val="009D0157"/>
    <w:rsid w:val="009E6762"/>
    <w:rsid w:val="00A07E74"/>
    <w:rsid w:val="00A126E1"/>
    <w:rsid w:val="00A17F65"/>
    <w:rsid w:val="00A36890"/>
    <w:rsid w:val="00A40BEE"/>
    <w:rsid w:val="00A43397"/>
    <w:rsid w:val="00A77CA1"/>
    <w:rsid w:val="00A81B6C"/>
    <w:rsid w:val="00AA1919"/>
    <w:rsid w:val="00AA2CFC"/>
    <w:rsid w:val="00AB4557"/>
    <w:rsid w:val="00AE4342"/>
    <w:rsid w:val="00AF0A0B"/>
    <w:rsid w:val="00B03267"/>
    <w:rsid w:val="00B20805"/>
    <w:rsid w:val="00B4577F"/>
    <w:rsid w:val="00B76FE3"/>
    <w:rsid w:val="00BB08FE"/>
    <w:rsid w:val="00BD7155"/>
    <w:rsid w:val="00BE00D7"/>
    <w:rsid w:val="00C0791E"/>
    <w:rsid w:val="00C20AB8"/>
    <w:rsid w:val="00C24168"/>
    <w:rsid w:val="00C32825"/>
    <w:rsid w:val="00C34FCB"/>
    <w:rsid w:val="00C35E2F"/>
    <w:rsid w:val="00C45260"/>
    <w:rsid w:val="00C727B3"/>
    <w:rsid w:val="00C95677"/>
    <w:rsid w:val="00C9768C"/>
    <w:rsid w:val="00CA1A71"/>
    <w:rsid w:val="00CA3057"/>
    <w:rsid w:val="00CB2E2A"/>
    <w:rsid w:val="00CC518B"/>
    <w:rsid w:val="00D22310"/>
    <w:rsid w:val="00D23448"/>
    <w:rsid w:val="00D54B8B"/>
    <w:rsid w:val="00D6313B"/>
    <w:rsid w:val="00D75309"/>
    <w:rsid w:val="00D77BF0"/>
    <w:rsid w:val="00D821EE"/>
    <w:rsid w:val="00DD499D"/>
    <w:rsid w:val="00DE7F16"/>
    <w:rsid w:val="00DF3350"/>
    <w:rsid w:val="00E151D4"/>
    <w:rsid w:val="00E322B9"/>
    <w:rsid w:val="00ED48D7"/>
    <w:rsid w:val="00ED6409"/>
    <w:rsid w:val="00EE7323"/>
    <w:rsid w:val="00EE7AD5"/>
    <w:rsid w:val="00F2143F"/>
    <w:rsid w:val="00F40E98"/>
    <w:rsid w:val="00F665AB"/>
    <w:rsid w:val="00FB5EF6"/>
    <w:rsid w:val="00FC2F58"/>
    <w:rsid w:val="00FC53FA"/>
    <w:rsid w:val="00FD4423"/>
    <w:rsid w:val="00FD78D3"/>
    <w:rsid w:val="00FE729E"/>
    <w:rsid w:val="00FF041C"/>
    <w:rsid w:val="1AF25768"/>
    <w:rsid w:val="20FC7113"/>
    <w:rsid w:val="26C439D0"/>
    <w:rsid w:val="51A86A8E"/>
    <w:rsid w:val="63FD5235"/>
    <w:rsid w:val="6E486380"/>
    <w:rsid w:val="74A62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link w:val="15"/>
    <w:qFormat/>
    <w:uiPriority w:val="99"/>
    <w:pPr>
      <w:keepNext/>
      <w:keepLines/>
      <w:spacing w:before="260" w:after="260" w:line="416" w:lineRule="auto"/>
      <w:outlineLvl w:val="2"/>
    </w:pPr>
    <w:rPr>
      <w:rFonts w:ascii="??" w:hAnsi="??" w:cs="??"/>
      <w:b/>
      <w:bCs/>
      <w:sz w:val="32"/>
      <w:szCs w:val="32"/>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99"/>
    <w:pPr>
      <w:ind w:firstLine="560"/>
    </w:pPr>
    <w:rPr>
      <w:rFonts w:eastAsia="仿宋_GB2312" w:cs="宋体"/>
      <w:sz w:val="24"/>
      <w:szCs w:val="20"/>
    </w:rPr>
  </w:style>
  <w:style w:type="paragraph" w:styleId="4">
    <w:name w:val="Body Text"/>
    <w:basedOn w:val="1"/>
    <w:link w:val="19"/>
    <w:qFormat/>
    <w:uiPriority w:val="0"/>
    <w:pPr>
      <w:spacing w:after="120"/>
    </w:pPr>
    <w:rPr>
      <w:rFonts w:ascii="Times New Roman" w:hAnsi="Times New Roman" w:eastAsia="仿宋_GB2312" w:cs="仿宋_GB2312"/>
      <w:bCs/>
      <w:sz w:val="32"/>
      <w:szCs w:val="32"/>
    </w:r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footnote text"/>
    <w:basedOn w:val="1"/>
    <w:link w:val="18"/>
    <w:autoRedefine/>
    <w:qFormat/>
    <w:uiPriority w:val="99"/>
    <w:pPr>
      <w:snapToGrid w:val="0"/>
      <w:jc w:val="left"/>
    </w:pPr>
    <w:rPr>
      <w:sz w:val="18"/>
      <w:szCs w:val="18"/>
    </w:rPr>
  </w:style>
  <w:style w:type="paragraph" w:styleId="9">
    <w:name w:val="Normal (Web)"/>
    <w:basedOn w:val="1"/>
    <w:autoRedefine/>
    <w:qFormat/>
    <w:uiPriority w:val="99"/>
    <w:pPr>
      <w:spacing w:after="150"/>
      <w:jc w:val="left"/>
    </w:pPr>
    <w:rPr>
      <w:kern w:val="0"/>
      <w:sz w:val="24"/>
    </w:rPr>
  </w:style>
  <w:style w:type="table" w:styleId="11">
    <w:name w:val="Table Grid"/>
    <w:basedOn w:val="10"/>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7"/>
    <w:qFormat/>
    <w:uiPriority w:val="99"/>
    <w:rPr>
      <w:sz w:val="18"/>
      <w:szCs w:val="18"/>
    </w:rPr>
  </w:style>
  <w:style w:type="character" w:customStyle="1" w:styleId="14">
    <w:name w:val="页脚 Char"/>
    <w:basedOn w:val="12"/>
    <w:link w:val="6"/>
    <w:qFormat/>
    <w:uiPriority w:val="99"/>
    <w:rPr>
      <w:sz w:val="18"/>
      <w:szCs w:val="18"/>
    </w:rPr>
  </w:style>
  <w:style w:type="character" w:customStyle="1" w:styleId="15">
    <w:name w:val="标题 3 Char"/>
    <w:basedOn w:val="12"/>
    <w:link w:val="3"/>
    <w:qFormat/>
    <w:uiPriority w:val="99"/>
    <w:rPr>
      <w:rFonts w:ascii="??" w:hAnsi="??" w:eastAsia="宋体" w:cs="??"/>
      <w:b/>
      <w:bCs/>
      <w:sz w:val="32"/>
      <w:szCs w:val="32"/>
    </w:rPr>
  </w:style>
  <w:style w:type="paragraph" w:customStyle="1" w:styleId="16">
    <w:name w:val="正文 New"/>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7">
    <w:name w:val="批注框文本 Char"/>
    <w:basedOn w:val="12"/>
    <w:link w:val="5"/>
    <w:semiHidden/>
    <w:qFormat/>
    <w:uiPriority w:val="99"/>
    <w:rPr>
      <w:rFonts w:ascii="Calibri" w:hAnsi="Calibri" w:eastAsia="宋体" w:cs="Times New Roman"/>
      <w:sz w:val="18"/>
      <w:szCs w:val="18"/>
    </w:rPr>
  </w:style>
  <w:style w:type="character" w:customStyle="1" w:styleId="18">
    <w:name w:val="脚注文本 Char"/>
    <w:basedOn w:val="12"/>
    <w:link w:val="8"/>
    <w:autoRedefine/>
    <w:qFormat/>
    <w:uiPriority w:val="99"/>
    <w:rPr>
      <w:rFonts w:ascii="Calibri" w:hAnsi="Calibri" w:eastAsia="宋体" w:cs="Times New Roman"/>
      <w:sz w:val="18"/>
      <w:szCs w:val="18"/>
    </w:rPr>
  </w:style>
  <w:style w:type="character" w:customStyle="1" w:styleId="19">
    <w:name w:val="正文文本 Char"/>
    <w:basedOn w:val="12"/>
    <w:link w:val="4"/>
    <w:autoRedefine/>
    <w:qFormat/>
    <w:uiPriority w:val="0"/>
    <w:rPr>
      <w:rFonts w:ascii="Times New Roman" w:hAnsi="Times New Roman" w:eastAsia="仿宋_GB2312" w:cs="仿宋_GB2312"/>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2D1B8-5A3B-46CA-B811-0AC7A87DF0D8}">
  <ds:schemaRefs/>
</ds:datastoreItem>
</file>

<file path=docProps/app.xml><?xml version="1.0" encoding="utf-8"?>
<Properties xmlns="http://schemas.openxmlformats.org/officeDocument/2006/extended-properties" xmlns:vt="http://schemas.openxmlformats.org/officeDocument/2006/docPropsVTypes">
  <Template>Normal</Template>
  <Company>gq</Company>
  <Pages>7</Pages>
  <Words>554</Words>
  <Characters>3160</Characters>
  <Lines>26</Lines>
  <Paragraphs>7</Paragraphs>
  <TotalTime>29</TotalTime>
  <ScaleCrop>false</ScaleCrop>
  <LinksUpToDate>false</LinksUpToDate>
  <CharactersWithSpaces>3707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2019-10-14T08:08:00Z</dcterms:created>
  <dc:creator>lb</dc:creator>
  <cp:lastModifiedBy>Administrator</cp:lastModifiedBy>
  <cp:lastPrinted>2020-01-10T02:38:00Z</cp:lastPrinted>
  <dcterms:modified xsi:type="dcterms:W3CDTF">2024-03-14T08:25:11Z</dcterms:modified>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C52C79EE4FAC40A0A119312D78390574_12</vt:lpwstr>
  </property>
</Properties>
</file>