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cs="宋体"/>
          <w:b/>
          <w:sz w:val="44"/>
          <w:szCs w:val="44"/>
        </w:rPr>
      </w:pPr>
      <w:bookmarkStart w:id="0" w:name="_GoBack"/>
      <w:r>
        <w:rPr>
          <w:rFonts w:hint="eastAsia" w:ascii="宋体" w:hAnsi="宋体" w:cs="宋体"/>
          <w:b/>
          <w:sz w:val="44"/>
          <w:szCs w:val="44"/>
        </w:rPr>
        <w:t>2019年高青县</w:t>
      </w:r>
      <w:r>
        <w:rPr>
          <w:rFonts w:hint="eastAsia" w:ascii="宋体" w:hAnsi="宋体" w:cs="宋体"/>
          <w:b/>
          <w:sz w:val="44"/>
          <w:szCs w:val="44"/>
          <w:lang w:val="en-US" w:eastAsia="zh-CN"/>
        </w:rPr>
        <w:t>信访局</w:t>
      </w:r>
      <w:r>
        <w:rPr>
          <w:rFonts w:hint="eastAsia" w:ascii="宋体" w:hAnsi="宋体" w:cs="宋体"/>
          <w:b/>
          <w:sz w:val="44"/>
          <w:szCs w:val="44"/>
        </w:rPr>
        <w:t>政府信息公开工作</w:t>
      </w:r>
    </w:p>
    <w:p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宋体" w:hAnsi="宋体" w:cs="宋体"/>
          <w:b/>
          <w:sz w:val="44"/>
          <w:szCs w:val="44"/>
        </w:rPr>
        <w:t>年度报告</w:t>
      </w:r>
    </w:p>
    <w:bookmarkEnd w:id="0"/>
    <w:p/>
    <w:p>
      <w:pPr>
        <w:spacing w:line="560" w:lineRule="exact"/>
        <w:ind w:firstLine="640" w:firstLineChars="200"/>
        <w:rPr>
          <w:rFonts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本报告按照《中华人民共和国政府信息公开条例》（以下简称《条例》）和《山东省政府信息公开办法》（以下简称《办法》）规定，由高青县</w:t>
      </w: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信访局</w:t>
      </w: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综合各</w:t>
      </w: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科室</w:t>
      </w: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政府信息公开工作情况编制。</w:t>
      </w:r>
    </w:p>
    <w:p>
      <w:pPr>
        <w:spacing w:line="560" w:lineRule="exact"/>
        <w:ind w:firstLine="640" w:firstLineChars="200"/>
        <w:jc w:val="left"/>
        <w:outlineLvl w:val="0"/>
        <w:rPr>
          <w:rFonts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报告全文由总体情况，主动公开政府信息情况，收到和处理政府信息公开申请情况，政府信息公开行政复议、行政诉讼情况，存在的主要问题及改进情况，其他需要报告的事项6个部分组成。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kern w:val="22"/>
          <w:sz w:val="32"/>
          <w:szCs w:val="32"/>
        </w:rPr>
      </w:pP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报告中所列数据统计期限自2019年1月1日始，至2019年12月31日止。报告电子版可在高青县人民政府门户网站（www.gaoqing.gov.cn）查阅和下载。如对报告内容有疑问，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请与高青县</w:t>
      </w:r>
      <w:r>
        <w:rPr>
          <w:rFonts w:hint="eastAsia" w:ascii="Times New Roman" w:hAnsi="Times New Roman" w:eastAsia="仿宋_GB2312"/>
          <w:kern w:val="22"/>
          <w:sz w:val="32"/>
          <w:szCs w:val="32"/>
          <w:lang w:val="en-US" w:eastAsia="zh-CN"/>
        </w:rPr>
        <w:t>信访局办公室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联系（地址：高青县城黄河路81号；邮编：256300；电话：0533-6967</w:t>
      </w:r>
      <w:r>
        <w:rPr>
          <w:rFonts w:hint="eastAsia" w:ascii="Times New Roman" w:hAnsi="Times New Roman" w:eastAsia="仿宋_GB2312"/>
          <w:kern w:val="22"/>
          <w:sz w:val="32"/>
          <w:szCs w:val="32"/>
          <w:lang w:val="en-US" w:eastAsia="zh-CN"/>
        </w:rPr>
        <w:t>112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；传真：0533-696</w:t>
      </w:r>
      <w:r>
        <w:rPr>
          <w:rFonts w:hint="eastAsia" w:ascii="Times New Roman" w:hAnsi="Times New Roman" w:eastAsia="仿宋_GB2312"/>
          <w:kern w:val="22"/>
          <w:sz w:val="32"/>
          <w:szCs w:val="32"/>
          <w:lang w:val="en-US" w:eastAsia="zh-CN"/>
        </w:rPr>
        <w:t>7112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）。</w:t>
      </w:r>
    </w:p>
    <w:p>
      <w:pPr>
        <w:spacing w:line="560" w:lineRule="exact"/>
        <w:ind w:firstLine="640" w:firstLineChars="200"/>
        <w:jc w:val="left"/>
        <w:rPr>
          <w:rFonts w:ascii="黑体" w:hAnsi="黑体" w:eastAsia="黑体"/>
          <w:kern w:val="22"/>
          <w:sz w:val="32"/>
          <w:szCs w:val="32"/>
        </w:rPr>
      </w:pPr>
      <w:r>
        <w:rPr>
          <w:rFonts w:hint="eastAsia" w:ascii="黑体" w:hAnsi="黑体" w:eastAsia="黑体"/>
          <w:kern w:val="22"/>
          <w:sz w:val="32"/>
          <w:szCs w:val="32"/>
        </w:rPr>
        <w:t>一、总体情况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ascii="Times New Roman" w:hAnsi="Times New Roman" w:eastAsia="仿宋_GB2312"/>
          <w:kern w:val="22"/>
          <w:sz w:val="32"/>
          <w:szCs w:val="32"/>
        </w:rPr>
      </w:pPr>
      <w:r>
        <w:rPr>
          <w:rFonts w:hint="eastAsia" w:ascii="Times New Roman" w:hAnsi="Times New Roman" w:eastAsia="仿宋_GB2312"/>
          <w:kern w:val="22"/>
          <w:sz w:val="32"/>
          <w:szCs w:val="32"/>
        </w:rPr>
        <w:t>2019年，高青县</w:t>
      </w:r>
      <w:r>
        <w:rPr>
          <w:rFonts w:hint="eastAsia" w:ascii="Times New Roman" w:hAnsi="Times New Roman" w:eastAsia="仿宋_GB2312"/>
          <w:kern w:val="22"/>
          <w:sz w:val="32"/>
          <w:szCs w:val="32"/>
          <w:lang w:val="en-US" w:eastAsia="zh-CN"/>
        </w:rPr>
        <w:t>信访局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继续深入贯彻《中华人民共和国政府信息公开条例》，认真落实《国务院办公厅关于印发2019年政务公开工作要点的通知》（国办发〔2019〕14号）、《山东省人民政府办公厅关于印发2019年山东省政务公开工作要点的通知》（鲁政办发〔2019〕15号）和《淄博市人民政府办公室关于印发2019年淄博市政务公开工作方案的通知》（淄政办发〔2019〕5号）部署的各项任务，紧紧围绕县委、县政府中心工作及群众关注关切，深化重点领域信息公开，完善政务公开制度建设，坚持以公开为常态、不公开为例外，推动行政权力全过程公开、公共服务全流程公开、社会关切全方位回应，切实提高群众满意度、获得感。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hint="eastAsia" w:ascii="Times New Roman" w:hAnsi="Times New Roman" w:eastAsia="仿宋_GB2312"/>
          <w:kern w:val="22"/>
          <w:sz w:val="32"/>
          <w:szCs w:val="32"/>
        </w:rPr>
      </w:pPr>
      <w:r>
        <w:rPr>
          <w:rFonts w:hint="eastAsia" w:ascii="Times New Roman" w:hAnsi="Times New Roman" w:eastAsia="仿宋_GB2312"/>
          <w:kern w:val="22"/>
          <w:sz w:val="32"/>
          <w:szCs w:val="32"/>
        </w:rPr>
        <w:t>（一）加强组织领导</w:t>
      </w:r>
      <w:r>
        <w:rPr>
          <w:rFonts w:hint="eastAsia" w:ascii="Times New Roman" w:hAnsi="Times New Roman" w:eastAsia="仿宋_GB2312"/>
          <w:kern w:val="2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优化队伍建设。</w:t>
      </w:r>
      <w:r>
        <w:rPr>
          <w:rFonts w:hint="eastAsia" w:ascii="Times New Roman" w:hAnsi="Times New Roman" w:eastAsia="仿宋_GB2312"/>
          <w:kern w:val="22"/>
          <w:sz w:val="32"/>
          <w:szCs w:val="32"/>
          <w:lang w:val="en-US" w:eastAsia="zh-CN"/>
        </w:rPr>
        <w:t>县信访局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明确由</w:t>
      </w:r>
      <w:r>
        <w:rPr>
          <w:rFonts w:hint="eastAsia" w:ascii="Times New Roman" w:hAnsi="Times New Roman" w:eastAsia="仿宋_GB2312"/>
          <w:kern w:val="22"/>
          <w:sz w:val="32"/>
          <w:szCs w:val="32"/>
          <w:lang w:val="en-US" w:eastAsia="zh-CN"/>
        </w:rPr>
        <w:t>分管副局长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分管政务公开工作，局办公室作为政务公开负责部门，确定专职工作人员具体负责协调、汇总政务公开相关工作。及时发布</w:t>
      </w:r>
      <w:r>
        <w:rPr>
          <w:rFonts w:hint="eastAsia" w:ascii="Times New Roman" w:hAnsi="Times New Roman" w:eastAsia="仿宋_GB2312"/>
          <w:kern w:val="22"/>
          <w:sz w:val="32"/>
          <w:szCs w:val="32"/>
          <w:lang w:val="en-US" w:eastAsia="zh-CN"/>
        </w:rPr>
        <w:t>公开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信息，积极回应社会关切，确保信息公开工作责任落实到位。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hint="eastAsia" w:ascii="Times New Roman" w:hAnsi="Times New Roman" w:eastAsia="仿宋_GB2312"/>
          <w:kern w:val="22"/>
          <w:sz w:val="32"/>
          <w:szCs w:val="32"/>
        </w:rPr>
      </w:pPr>
      <w:r>
        <w:rPr>
          <w:rFonts w:hint="eastAsia" w:ascii="Times New Roman" w:hAnsi="Times New Roman" w:eastAsia="仿宋_GB2312"/>
          <w:kern w:val="22"/>
          <w:sz w:val="32"/>
          <w:szCs w:val="32"/>
        </w:rPr>
        <w:t>（二）完善制度机制</w:t>
      </w:r>
      <w:r>
        <w:rPr>
          <w:rFonts w:hint="eastAsia" w:ascii="Times New Roman" w:hAnsi="Times New Roman" w:eastAsia="仿宋_GB2312"/>
          <w:kern w:val="2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强力部署推进。县</w:t>
      </w:r>
      <w:r>
        <w:rPr>
          <w:rFonts w:hint="eastAsia" w:ascii="Times New Roman" w:hAnsi="Times New Roman" w:eastAsia="仿宋_GB2312"/>
          <w:kern w:val="22"/>
          <w:sz w:val="32"/>
          <w:szCs w:val="32"/>
          <w:lang w:val="en-US" w:eastAsia="zh-CN"/>
        </w:rPr>
        <w:t>信访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局从完善制度机制入手，进一步明确重点领域、公开事项、公开方式、责任科室等具体要求，建立和完善了首问负责、信息保密审查、限时办结、服务承诺、责任追究等制度，确保政府信息公开工作制度化、规范化。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hint="eastAsia" w:ascii="Times New Roman" w:hAnsi="Times New Roman" w:eastAsia="仿宋_GB2312"/>
          <w:kern w:val="22"/>
          <w:sz w:val="32"/>
          <w:szCs w:val="32"/>
        </w:rPr>
      </w:pPr>
      <w:r>
        <w:rPr>
          <w:rFonts w:hint="eastAsia" w:ascii="Times New Roman" w:hAnsi="Times New Roman" w:eastAsia="仿宋_GB2312"/>
          <w:kern w:val="22"/>
          <w:sz w:val="32"/>
          <w:szCs w:val="32"/>
        </w:rPr>
        <w:t>（三）及时维护网站，畅通公开渠道。积极响应政府网站作为政务公开第一平台的有关工作要求，按时维护更新政府信息公开目录、政府信息依申请公开等栏目。</w:t>
      </w:r>
    </w:p>
    <w:p>
      <w:pPr>
        <w:spacing w:line="560" w:lineRule="exact"/>
        <w:ind w:firstLine="640" w:firstLineChars="200"/>
        <w:jc w:val="left"/>
        <w:rPr>
          <w:rFonts w:ascii="黑体" w:hAnsi="黑体" w:eastAsia="黑体"/>
          <w:kern w:val="22"/>
          <w:sz w:val="32"/>
          <w:szCs w:val="32"/>
        </w:rPr>
      </w:pPr>
      <w:r>
        <w:rPr>
          <w:rFonts w:hint="eastAsia" w:ascii="黑体" w:hAnsi="黑体" w:eastAsia="黑体"/>
          <w:kern w:val="22"/>
          <w:sz w:val="32"/>
          <w:szCs w:val="32"/>
        </w:rPr>
        <w:t>二、主动公开政府信息情况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Times New Roman" w:hAnsi="Times New Roman" w:eastAsia="仿宋_GB2312"/>
          <w:kern w:val="22"/>
          <w:sz w:val="32"/>
          <w:szCs w:val="32"/>
        </w:rPr>
        <w:t>2019年，制发政府规章</w:t>
      </w:r>
      <w:r>
        <w:rPr>
          <w:rFonts w:hint="eastAsia" w:ascii="Times New Roman" w:hAnsi="Times New Roman" w:eastAsia="仿宋_GB2312"/>
          <w:kern w:val="2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件，规范性文件</w:t>
      </w:r>
      <w:r>
        <w:rPr>
          <w:rFonts w:hint="eastAsia" w:ascii="Times New Roman" w:hAnsi="Times New Roman" w:eastAsia="仿宋_GB2312"/>
          <w:kern w:val="2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件，行政许可、行政处罚、行政强制、行政事业性收费、政府集中采购等事项公开情况详见下表。</w:t>
      </w:r>
    </w:p>
    <w:tbl>
      <w:tblPr>
        <w:tblStyle w:val="10"/>
        <w:tblW w:w="8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1985"/>
        <w:gridCol w:w="2030"/>
        <w:gridCol w:w="2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694" w:type="dxa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本年新制作数量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本年新</w:t>
            </w:r>
          </w:p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公开数量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对外公开</w:t>
            </w:r>
          </w:p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总数量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694" w:type="dxa"/>
            <w:vAlign w:val="center"/>
          </w:tcPr>
          <w:p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规章</w:t>
            </w:r>
          </w:p>
        </w:tc>
        <w:tc>
          <w:tcPr>
            <w:tcW w:w="1985" w:type="dxa"/>
            <w:vAlign w:val="center"/>
          </w:tcPr>
          <w:p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694" w:type="dxa"/>
            <w:vAlign w:val="center"/>
          </w:tcPr>
          <w:p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规范性文件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rPr>
                <w:rFonts w:hint="eastAsia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694" w:type="dxa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上一年项目数量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本年增/减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2694" w:type="dxa"/>
            <w:vAlign w:val="center"/>
          </w:tcPr>
          <w:p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行政许可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rPr>
                <w:rFonts w:hint="eastAsia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2694" w:type="dxa"/>
            <w:vAlign w:val="center"/>
          </w:tcPr>
          <w:p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其他对外管理服务事项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default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11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default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-7</w:t>
            </w:r>
          </w:p>
        </w:tc>
        <w:tc>
          <w:tcPr>
            <w:tcW w:w="2222" w:type="dxa"/>
            <w:vAlign w:val="center"/>
          </w:tcPr>
          <w:p>
            <w:pPr>
              <w:rPr>
                <w:rFonts w:hint="eastAsia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2694" w:type="dxa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上一年项目数量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本年增/减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2694" w:type="dxa"/>
            <w:vAlign w:val="center"/>
          </w:tcPr>
          <w:p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行政处罚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default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rPr>
                <w:rFonts w:hint="eastAsia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2694" w:type="dxa"/>
            <w:vAlign w:val="center"/>
          </w:tcPr>
          <w:p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行政强制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rPr>
                <w:rFonts w:hint="eastAsia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694" w:type="dxa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上一年项目数量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本年增/减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694" w:type="dxa"/>
            <w:vAlign w:val="center"/>
          </w:tcPr>
          <w:p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行政事业性收费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第二十条第（九）项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694" w:type="dxa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采购项目数量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采购总金额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2694" w:type="dxa"/>
            <w:vAlign w:val="center"/>
          </w:tcPr>
          <w:p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政府集中采购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rPr>
                <w:rFonts w:hint="eastAsia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2694" w:type="dxa"/>
            <w:vAlign w:val="center"/>
          </w:tcPr>
          <w:p>
            <w:pPr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政府采购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rPr>
                <w:rFonts w:hint="default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52830</w:t>
            </w:r>
          </w:p>
        </w:tc>
      </w:tr>
    </w:tbl>
    <w:p>
      <w:pPr>
        <w:spacing w:line="560" w:lineRule="exact"/>
        <w:ind w:firstLine="640" w:firstLineChars="200"/>
        <w:jc w:val="left"/>
        <w:rPr>
          <w:rFonts w:ascii="黑体" w:hAnsi="黑体" w:eastAsia="黑体"/>
          <w:kern w:val="22"/>
          <w:sz w:val="32"/>
          <w:szCs w:val="32"/>
        </w:rPr>
      </w:pPr>
      <w:r>
        <w:rPr>
          <w:rFonts w:hint="eastAsia" w:ascii="黑体" w:hAnsi="黑体" w:eastAsia="黑体"/>
          <w:kern w:val="22"/>
          <w:sz w:val="32"/>
          <w:szCs w:val="32"/>
        </w:rPr>
        <w:t>三、收到和处理政府信息公开申请情况</w:t>
      </w:r>
    </w:p>
    <w:p>
      <w:pPr>
        <w:pStyle w:val="8"/>
        <w:widowControl/>
        <w:spacing w:after="0"/>
        <w:ind w:firstLine="640" w:firstLineChars="200"/>
        <w:jc w:val="both"/>
        <w:rPr>
          <w:rFonts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2019年度，共收到政府信息公开申请</w:t>
      </w: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件，结转下年度继续办理</w:t>
      </w: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件，上年结转政府信息公开申请</w:t>
      </w: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件。</w:t>
      </w:r>
    </w:p>
    <w:tbl>
      <w:tblPr>
        <w:tblStyle w:val="10"/>
        <w:tblW w:w="978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560"/>
        <w:gridCol w:w="2693"/>
        <w:gridCol w:w="567"/>
        <w:gridCol w:w="709"/>
        <w:gridCol w:w="708"/>
        <w:gridCol w:w="709"/>
        <w:gridCol w:w="709"/>
        <w:gridCol w:w="709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4820" w:type="dxa"/>
            <w:gridSpan w:val="3"/>
            <w:vMerge w:val="restart"/>
            <w:vAlign w:val="center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（本列数据的勾稽关系为：第一项加第二项之和，等于第三项加第四项之和）</w:t>
            </w:r>
          </w:p>
        </w:tc>
        <w:tc>
          <w:tcPr>
            <w:tcW w:w="4961" w:type="dxa"/>
            <w:gridSpan w:val="7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4820" w:type="dxa"/>
            <w:gridSpan w:val="3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567" w:type="dxa"/>
            <w:vMerge w:val="restart"/>
            <w:vAlign w:val="center"/>
          </w:tcPr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自然人</w:t>
            </w:r>
          </w:p>
        </w:tc>
        <w:tc>
          <w:tcPr>
            <w:tcW w:w="3544" w:type="dxa"/>
            <w:gridSpan w:val="5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法人或其他组织</w:t>
            </w:r>
          </w:p>
        </w:tc>
        <w:tc>
          <w:tcPr>
            <w:tcW w:w="850" w:type="dxa"/>
            <w:vMerge w:val="restart"/>
            <w:vAlign w:val="center"/>
          </w:tcPr>
          <w:p>
            <w:pPr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4820" w:type="dxa"/>
            <w:gridSpan w:val="3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567" w:type="dxa"/>
            <w:vMerge w:val="continue"/>
          </w:tcPr>
          <w:p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商业企业</w:t>
            </w:r>
          </w:p>
        </w:tc>
        <w:tc>
          <w:tcPr>
            <w:tcW w:w="708" w:type="dxa"/>
            <w:vAlign w:val="center"/>
          </w:tcPr>
          <w:p>
            <w:pPr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科研机构</w:t>
            </w:r>
          </w:p>
        </w:tc>
        <w:tc>
          <w:tcPr>
            <w:tcW w:w="709" w:type="dxa"/>
            <w:vAlign w:val="center"/>
          </w:tcPr>
          <w:p>
            <w:pPr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社会公益组织</w:t>
            </w:r>
          </w:p>
        </w:tc>
        <w:tc>
          <w:tcPr>
            <w:tcW w:w="709" w:type="dxa"/>
            <w:vAlign w:val="center"/>
          </w:tcPr>
          <w:p>
            <w:pPr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法律服务机构</w:t>
            </w:r>
          </w:p>
        </w:tc>
        <w:tc>
          <w:tcPr>
            <w:tcW w:w="709" w:type="dxa"/>
            <w:vAlign w:val="center"/>
          </w:tcPr>
          <w:p>
            <w:pPr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其他</w:t>
            </w:r>
          </w:p>
        </w:tc>
        <w:tc>
          <w:tcPr>
            <w:tcW w:w="850" w:type="dxa"/>
            <w:vMerge w:val="continue"/>
            <w:vAlign w:val="center"/>
          </w:tcPr>
          <w:p>
            <w:pPr>
              <w:rPr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4820" w:type="dxa"/>
            <w:gridSpan w:val="3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一、本年新收政府信息公开申请数量</w:t>
            </w:r>
          </w:p>
        </w:tc>
        <w:tc>
          <w:tcPr>
            <w:tcW w:w="567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="宋体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hint="eastAsia" w:eastAsia="宋体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="宋体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="宋体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="宋体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pPr>
              <w:rPr>
                <w:rFonts w:hint="eastAsia" w:eastAsia="宋体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4820" w:type="dxa"/>
            <w:gridSpan w:val="3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二、上年结转政府信息公开申请数量</w:t>
            </w:r>
          </w:p>
        </w:tc>
        <w:tc>
          <w:tcPr>
            <w:tcW w:w="567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567" w:type="dxa"/>
            <w:vMerge w:val="restart"/>
            <w:vAlign w:val="center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三、本年度办理结果</w:t>
            </w:r>
          </w:p>
        </w:tc>
        <w:tc>
          <w:tcPr>
            <w:tcW w:w="4253" w:type="dxa"/>
            <w:gridSpan w:val="2"/>
          </w:tcPr>
          <w:p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kern w:val="0"/>
                <w:sz w:val="18"/>
                <w:szCs w:val="18"/>
              </w:rPr>
              <w:t>（一）予以公开</w:t>
            </w:r>
          </w:p>
        </w:tc>
        <w:tc>
          <w:tcPr>
            <w:tcW w:w="567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4253" w:type="dxa"/>
            <w:gridSpan w:val="2"/>
          </w:tcPr>
          <w:p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kern w:val="0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67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567" w:type="dxa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kern w:val="0"/>
                <w:sz w:val="18"/>
                <w:szCs w:val="18"/>
              </w:rPr>
              <w:t>（三）不予公开</w:t>
            </w: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hAnsiTheme="minorEastAsia"/>
                <w:kern w:val="0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/>
                <w:kern w:val="0"/>
                <w:sz w:val="18"/>
                <w:szCs w:val="18"/>
              </w:rPr>
              <w:t>．属于国家秘密</w:t>
            </w:r>
          </w:p>
        </w:tc>
        <w:tc>
          <w:tcPr>
            <w:tcW w:w="567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567" w:type="dxa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kern w:val="0"/>
                <w:sz w:val="18"/>
                <w:szCs w:val="18"/>
              </w:rPr>
              <w:t>2．其他法律行政法规禁止公开</w:t>
            </w:r>
          </w:p>
        </w:tc>
        <w:tc>
          <w:tcPr>
            <w:tcW w:w="567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567" w:type="dxa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kern w:val="0"/>
                <w:sz w:val="18"/>
                <w:szCs w:val="18"/>
              </w:rPr>
              <w:t>3．危及“三安全一稳定”</w:t>
            </w:r>
          </w:p>
        </w:tc>
        <w:tc>
          <w:tcPr>
            <w:tcW w:w="567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7" w:type="dxa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kern w:val="0"/>
                <w:sz w:val="18"/>
                <w:szCs w:val="18"/>
              </w:rPr>
              <w:t>4．保护第三方合法权益</w:t>
            </w:r>
          </w:p>
        </w:tc>
        <w:tc>
          <w:tcPr>
            <w:tcW w:w="567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67" w:type="dxa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kern w:val="0"/>
                <w:sz w:val="18"/>
                <w:szCs w:val="18"/>
              </w:rPr>
              <w:t>5．属于三类内部事务信息</w:t>
            </w:r>
          </w:p>
        </w:tc>
        <w:tc>
          <w:tcPr>
            <w:tcW w:w="567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567" w:type="dxa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kern w:val="0"/>
                <w:sz w:val="18"/>
                <w:szCs w:val="18"/>
              </w:rPr>
              <w:t>6．属于四类过程性信息</w:t>
            </w:r>
          </w:p>
        </w:tc>
        <w:tc>
          <w:tcPr>
            <w:tcW w:w="567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567" w:type="dxa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kern w:val="0"/>
                <w:sz w:val="18"/>
                <w:szCs w:val="18"/>
              </w:rPr>
              <w:t>7．属于行政执法案卷</w:t>
            </w:r>
          </w:p>
        </w:tc>
        <w:tc>
          <w:tcPr>
            <w:tcW w:w="567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567" w:type="dxa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kern w:val="0"/>
                <w:sz w:val="18"/>
                <w:szCs w:val="18"/>
              </w:rPr>
              <w:t>8．属于行政查询事项</w:t>
            </w:r>
          </w:p>
        </w:tc>
        <w:tc>
          <w:tcPr>
            <w:tcW w:w="567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567" w:type="dxa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（四）无法提供</w:t>
            </w: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kern w:val="0"/>
                <w:sz w:val="18"/>
                <w:szCs w:val="18"/>
              </w:rPr>
              <w:t>1．本机关不掌握相关政府信息</w:t>
            </w:r>
          </w:p>
        </w:tc>
        <w:tc>
          <w:tcPr>
            <w:tcW w:w="567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567" w:type="dxa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kern w:val="0"/>
                <w:sz w:val="18"/>
                <w:szCs w:val="18"/>
              </w:rPr>
              <w:t>2．没有现成信息需要另行制作</w:t>
            </w:r>
          </w:p>
        </w:tc>
        <w:tc>
          <w:tcPr>
            <w:tcW w:w="567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kern w:val="0"/>
                <w:sz w:val="18"/>
                <w:szCs w:val="18"/>
              </w:rPr>
              <w:t>3．补正后申请内容仍不明确</w:t>
            </w:r>
          </w:p>
        </w:tc>
        <w:tc>
          <w:tcPr>
            <w:tcW w:w="567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567" w:type="dxa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（五）</w:t>
            </w:r>
            <w:r>
              <w:rPr>
                <w:rFonts w:hint="eastAsia" w:asciiTheme="minorEastAsia" w:hAnsiTheme="minorEastAsia"/>
                <w:kern w:val="0"/>
                <w:sz w:val="18"/>
                <w:szCs w:val="18"/>
              </w:rPr>
              <w:t>不予处理</w:t>
            </w: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kern w:val="0"/>
                <w:sz w:val="18"/>
                <w:szCs w:val="18"/>
              </w:rPr>
              <w:t>1．信访举报投诉类申请</w:t>
            </w:r>
          </w:p>
        </w:tc>
        <w:tc>
          <w:tcPr>
            <w:tcW w:w="567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1560" w:type="dxa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kern w:val="0"/>
                <w:sz w:val="18"/>
                <w:szCs w:val="18"/>
              </w:rPr>
              <w:t>2．重复申请</w:t>
            </w:r>
          </w:p>
        </w:tc>
        <w:tc>
          <w:tcPr>
            <w:tcW w:w="567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567" w:type="dxa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1560" w:type="dxa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hAnsiTheme="minorEastAsia"/>
                <w:kern w:val="0"/>
                <w:sz w:val="18"/>
                <w:szCs w:val="18"/>
              </w:rPr>
              <w:t>3</w:t>
            </w:r>
            <w:r>
              <w:rPr>
                <w:rFonts w:hint="eastAsia" w:asciiTheme="minorEastAsia" w:hAnsiTheme="minorEastAsia"/>
                <w:kern w:val="0"/>
                <w:sz w:val="18"/>
                <w:szCs w:val="18"/>
              </w:rPr>
              <w:t>．要求提供公开出版物</w:t>
            </w:r>
          </w:p>
        </w:tc>
        <w:tc>
          <w:tcPr>
            <w:tcW w:w="567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67" w:type="dxa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1560" w:type="dxa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kern w:val="0"/>
                <w:sz w:val="18"/>
                <w:szCs w:val="18"/>
              </w:rPr>
              <w:t>4．无正当理由大量反复申请</w:t>
            </w:r>
          </w:p>
        </w:tc>
        <w:tc>
          <w:tcPr>
            <w:tcW w:w="567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1560" w:type="dxa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2693" w:type="dxa"/>
          </w:tcPr>
          <w:p>
            <w:pPr>
              <w:ind w:left="180" w:hanging="180" w:hangingChars="100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kern w:val="0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67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567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4253" w:type="dxa"/>
            <w:gridSpan w:val="2"/>
            <w:vAlign w:val="center"/>
          </w:tcPr>
          <w:p>
            <w:pPr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（六）其他处理</w:t>
            </w:r>
          </w:p>
        </w:tc>
        <w:tc>
          <w:tcPr>
            <w:tcW w:w="567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default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567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4253" w:type="dxa"/>
            <w:gridSpan w:val="2"/>
            <w:vAlign w:val="center"/>
          </w:tcPr>
          <w:p>
            <w:pPr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（七）总计</w:t>
            </w:r>
          </w:p>
        </w:tc>
        <w:tc>
          <w:tcPr>
            <w:tcW w:w="567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0" w:type="dxa"/>
            <w:gridSpan w:val="3"/>
            <w:vAlign w:val="center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四、结转下年度继续办理</w:t>
            </w:r>
          </w:p>
        </w:tc>
        <w:tc>
          <w:tcPr>
            <w:tcW w:w="567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</w:tr>
    </w:tbl>
    <w:p>
      <w:pPr>
        <w:pStyle w:val="8"/>
        <w:widowControl/>
        <w:spacing w:after="0"/>
        <w:ind w:firstLine="640" w:firstLineChars="200"/>
        <w:rPr>
          <w:rFonts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0" w:firstLineChars="200"/>
        <w:jc w:val="left"/>
        <w:rPr>
          <w:rFonts w:ascii="黑体" w:hAnsi="黑体" w:eastAsia="黑体"/>
          <w:kern w:val="22"/>
          <w:sz w:val="32"/>
          <w:szCs w:val="32"/>
        </w:rPr>
      </w:pPr>
      <w:r>
        <w:rPr>
          <w:rFonts w:hint="eastAsia" w:ascii="黑体" w:hAnsi="黑体" w:eastAsia="黑体"/>
          <w:kern w:val="22"/>
          <w:sz w:val="32"/>
          <w:szCs w:val="32"/>
        </w:rPr>
        <w:t>四、政府信息公开行政复议、行政诉讼情况</w:t>
      </w:r>
    </w:p>
    <w:p>
      <w:pPr>
        <w:spacing w:line="560" w:lineRule="exact"/>
        <w:ind w:firstLine="640" w:firstLineChars="200"/>
        <w:jc w:val="left"/>
        <w:rPr>
          <w:rFonts w:ascii="黑体" w:hAnsi="黑体" w:eastAsia="黑体"/>
          <w:kern w:val="22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2019年，因政府信息公开引起的行政复议</w:t>
      </w:r>
      <w:r>
        <w:rPr>
          <w:rFonts w:hint="eastAsia" w:ascii="仿宋_GB2312" w:hAnsi="仿宋" w:eastAsia="仿宋_GB2312" w:cs="仿宋"/>
          <w:color w:val="000000" w:themeColor="text1"/>
          <w:kern w:val="0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" w:hAnsi="仿宋" w:eastAsia="仿宋" w:cs="宋体"/>
          <w:kern w:val="0"/>
          <w:sz w:val="32"/>
          <w:szCs w:val="32"/>
        </w:rPr>
        <w:t>件，行政诉讼</w:t>
      </w:r>
      <w:r>
        <w:rPr>
          <w:rFonts w:hint="eastAsia" w:ascii="仿宋" w:hAnsi="仿宋" w:eastAsia="仿宋" w:cs="宋体"/>
          <w:kern w:val="0"/>
          <w:sz w:val="32"/>
          <w:szCs w:val="32"/>
          <w:u w:val="none"/>
          <w:lang w:val="en-US" w:eastAsia="zh-CN"/>
        </w:rPr>
        <w:t>0</w:t>
      </w:r>
      <w:r>
        <w:rPr>
          <w:rFonts w:hint="eastAsia" w:ascii="仿宋" w:hAnsi="仿宋" w:eastAsia="仿宋" w:cs="宋体"/>
          <w:kern w:val="0"/>
          <w:sz w:val="32"/>
          <w:szCs w:val="32"/>
        </w:rPr>
        <w:t>件。</w:t>
      </w:r>
    </w:p>
    <w:p>
      <w:pPr>
        <w:spacing w:line="560" w:lineRule="exact"/>
        <w:ind w:firstLine="640" w:firstLineChars="200"/>
        <w:jc w:val="left"/>
        <w:rPr>
          <w:rFonts w:ascii="黑体" w:hAnsi="黑体" w:eastAsia="黑体"/>
          <w:kern w:val="22"/>
          <w:sz w:val="32"/>
          <w:szCs w:val="32"/>
        </w:rPr>
      </w:pPr>
    </w:p>
    <w:tbl>
      <w:tblPr>
        <w:tblStyle w:val="10"/>
        <w:tblW w:w="10206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708"/>
        <w:gridCol w:w="709"/>
        <w:gridCol w:w="682"/>
        <w:gridCol w:w="594"/>
        <w:gridCol w:w="709"/>
        <w:gridCol w:w="709"/>
        <w:gridCol w:w="709"/>
        <w:gridCol w:w="708"/>
        <w:gridCol w:w="567"/>
        <w:gridCol w:w="851"/>
        <w:gridCol w:w="650"/>
        <w:gridCol w:w="767"/>
        <w:gridCol w:w="709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2" w:hRule="atLeast"/>
        </w:trPr>
        <w:tc>
          <w:tcPr>
            <w:tcW w:w="3402" w:type="dxa"/>
            <w:gridSpan w:val="5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行政复议</w:t>
            </w:r>
          </w:p>
        </w:tc>
        <w:tc>
          <w:tcPr>
            <w:tcW w:w="6804" w:type="dxa"/>
            <w:gridSpan w:val="10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结果维持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其他结果</w:t>
            </w:r>
          </w:p>
        </w:tc>
        <w:tc>
          <w:tcPr>
            <w:tcW w:w="682" w:type="dxa"/>
            <w:vMerge w:val="restart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尚未审结</w:t>
            </w:r>
          </w:p>
        </w:tc>
        <w:tc>
          <w:tcPr>
            <w:tcW w:w="594" w:type="dxa"/>
            <w:vMerge w:val="restart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总计</w:t>
            </w:r>
          </w:p>
        </w:tc>
        <w:tc>
          <w:tcPr>
            <w:tcW w:w="3402" w:type="dxa"/>
            <w:gridSpan w:val="5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未经复议直接起诉</w:t>
            </w:r>
          </w:p>
        </w:tc>
        <w:tc>
          <w:tcPr>
            <w:tcW w:w="3402" w:type="dxa"/>
            <w:gridSpan w:val="5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82" w:type="dxa"/>
            <w:vMerge w:val="continue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594" w:type="dxa"/>
            <w:vMerge w:val="continue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其他结果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尚未审结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总计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结果维持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结果纠正</w:t>
            </w: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709" w:type="dxa"/>
            <w:vAlign w:val="center"/>
          </w:tcPr>
          <w:p>
            <w:pPr>
              <w:rPr>
                <w:rFonts w:hint="eastAsia" w:eastAsia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hint="eastAsia" w:eastAsia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82" w:type="dxa"/>
            <w:vAlign w:val="center"/>
          </w:tcPr>
          <w:p>
            <w:pPr>
              <w:rPr>
                <w:rFonts w:hint="eastAsia" w:eastAsia="宋体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szCs w:val="21"/>
                <w:lang w:val="en-US" w:eastAsia="zh-CN"/>
              </w:rPr>
              <w:t>0</w:t>
            </w:r>
          </w:p>
        </w:tc>
        <w:tc>
          <w:tcPr>
            <w:tcW w:w="594" w:type="dxa"/>
            <w:vAlign w:val="center"/>
          </w:tcPr>
          <w:p>
            <w:pPr>
              <w:rPr>
                <w:rFonts w:hint="eastAsia" w:eastAsia="宋体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="宋体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="宋体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="宋体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hint="eastAsia" w:eastAsia="宋体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hint="eastAsia" w:eastAsia="宋体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hint="eastAsia" w:eastAsia="宋体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rPr>
                <w:rFonts w:hint="eastAsia" w:eastAsia="宋体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szCs w:val="21"/>
                <w:lang w:val="en-US" w:eastAsia="zh-CN"/>
              </w:rPr>
              <w:t>0</w:t>
            </w:r>
          </w:p>
        </w:tc>
        <w:tc>
          <w:tcPr>
            <w:tcW w:w="767" w:type="dxa"/>
            <w:vAlign w:val="center"/>
          </w:tcPr>
          <w:p>
            <w:pPr>
              <w:rPr>
                <w:rFonts w:hint="eastAsia" w:eastAsia="宋体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="宋体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szCs w:val="21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rPr>
                <w:rFonts w:hint="eastAsia" w:eastAsia="宋体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60" w:lineRule="exact"/>
        <w:ind w:firstLine="640" w:firstLineChars="200"/>
        <w:jc w:val="left"/>
        <w:rPr>
          <w:rFonts w:ascii="黑体" w:hAnsi="黑体" w:eastAsia="黑体"/>
          <w:kern w:val="22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kern w:val="22"/>
          <w:sz w:val="32"/>
          <w:szCs w:val="32"/>
        </w:rPr>
        <w:t>五、存在的主要问题及改进情况</w:t>
      </w:r>
    </w:p>
    <w:p>
      <w:pPr>
        <w:spacing w:line="560" w:lineRule="exact"/>
        <w:ind w:firstLine="640" w:firstLineChars="200"/>
        <w:jc w:val="left"/>
        <w:outlineLvl w:val="0"/>
        <w:rPr>
          <w:rFonts w:ascii="仿宋_GB2312" w:hAnsi="仿宋" w:eastAsia="仿宋_GB2312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2019年，</w:t>
      </w:r>
      <w:r>
        <w:rPr>
          <w:rFonts w:hint="eastAsia" w:ascii="仿宋_GB2312" w:hAnsi="仿宋" w:eastAsia="仿宋_GB2312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本部门</w:t>
      </w:r>
      <w:r>
        <w:rPr>
          <w:rFonts w:hint="eastAsia" w:ascii="仿宋_GB2312" w:hAnsi="仿宋" w:eastAsia="仿宋_GB2312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政府信息公开工作进展顺利，公开力度加大，但是也还存在着一些问题：一是主动公开政府信息意识不强，缺乏工作积极性和主动性；二是政策解读工作机制还需完善；三是</w:t>
      </w:r>
      <w:r>
        <w:rPr>
          <w:rFonts w:hint="eastAsia" w:ascii="仿宋_GB2312" w:hAnsi="仿宋" w:eastAsia="仿宋_GB2312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政府信息公开欠规范。</w:t>
      </w:r>
    </w:p>
    <w:p>
      <w:pPr>
        <w:spacing w:line="560" w:lineRule="exact"/>
        <w:ind w:firstLine="640" w:firstLineChars="200"/>
        <w:jc w:val="left"/>
        <w:outlineLvl w:val="0"/>
        <w:rPr>
          <w:rFonts w:hint="eastAsia" w:ascii="仿宋_GB2312" w:hAnsi="仿宋" w:eastAsia="仿宋_GB2312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2020年，</w:t>
      </w:r>
      <w:r>
        <w:rPr>
          <w:rFonts w:hint="eastAsia" w:ascii="仿宋_GB2312" w:hAnsi="仿宋" w:eastAsia="仿宋_GB2312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县信访局</w:t>
      </w:r>
      <w:r>
        <w:rPr>
          <w:rFonts w:hint="eastAsia" w:ascii="仿宋_GB2312" w:hAnsi="仿宋" w:eastAsia="仿宋_GB2312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将加强以下工作，全力推动信息公开工作深入开展。</w:t>
      </w:r>
    </w:p>
    <w:p>
      <w:pPr>
        <w:spacing w:line="560" w:lineRule="exact"/>
        <w:ind w:firstLine="640" w:firstLineChars="200"/>
        <w:jc w:val="left"/>
        <w:outlineLvl w:val="0"/>
        <w:rPr>
          <w:rFonts w:hint="eastAsia" w:ascii="仿宋_GB2312" w:hAnsi="仿宋" w:eastAsia="仿宋_GB2312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一是加大政府信息公开工作力度，逐步扩大政府信息公开的覆盖面，做好财政性资金、重大公共政策决策等信息的公开工作。</w:t>
      </w:r>
    </w:p>
    <w:p>
      <w:pPr>
        <w:spacing w:line="560" w:lineRule="exact"/>
        <w:ind w:firstLine="640" w:firstLineChars="200"/>
        <w:jc w:val="left"/>
        <w:outlineLvl w:val="0"/>
        <w:rPr>
          <w:rFonts w:hint="eastAsia" w:ascii="仿宋_GB2312" w:hAnsi="仿宋" w:eastAsia="仿宋_GB2312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二是进一步提高政府信息公开的业务人员的素质，做好信息公开的培训工作，推进工作持续深入开展。</w:t>
      </w:r>
    </w:p>
    <w:p>
      <w:pPr>
        <w:spacing w:line="560" w:lineRule="exact"/>
        <w:ind w:firstLine="640" w:firstLineChars="200"/>
        <w:jc w:val="left"/>
        <w:outlineLvl w:val="0"/>
        <w:rPr>
          <w:rFonts w:hint="eastAsia" w:ascii="仿宋_GB2312" w:hAnsi="仿宋" w:eastAsia="仿宋_GB2312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三是进一步健全和完善政府信息公开制度，并加强督查和指导，推进全局政府信息公开工作。</w:t>
      </w:r>
    </w:p>
    <w:p>
      <w:pPr>
        <w:spacing w:line="560" w:lineRule="exact"/>
        <w:ind w:firstLine="640" w:firstLineChars="200"/>
        <w:jc w:val="left"/>
        <w:rPr>
          <w:rFonts w:ascii="黑体" w:hAnsi="黑体" w:eastAsia="黑体"/>
          <w:kern w:val="22"/>
          <w:sz w:val="32"/>
          <w:szCs w:val="32"/>
        </w:rPr>
      </w:pPr>
      <w:r>
        <w:rPr>
          <w:rFonts w:hint="eastAsia" w:ascii="黑体" w:hAnsi="黑体" w:eastAsia="黑体"/>
          <w:kern w:val="22"/>
          <w:sz w:val="32"/>
          <w:szCs w:val="32"/>
        </w:rPr>
        <w:t>六、其他需要报告的事项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hint="default" w:ascii="仿宋_GB2312" w:hAnsi="仿宋" w:eastAsia="仿宋_GB2312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z w:val="32"/>
          <w:szCs w:val="32"/>
        </w:rPr>
        <w:t>本报告统计数据含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1个局所属事业单位。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8"/>
        <w:widowControl/>
        <w:spacing w:after="0" w:line="560" w:lineRule="exact"/>
        <w:ind w:firstLine="640" w:firstLineChars="200"/>
        <w:jc w:val="right"/>
        <w:rPr>
          <w:rFonts w:hint="eastAsia" w:ascii="仿宋_GB2312" w:hAnsi="仿宋" w:eastAsia="仿宋_GB2312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高青县</w:t>
      </w: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信访局</w:t>
      </w:r>
    </w:p>
    <w:p>
      <w:pPr>
        <w:pStyle w:val="8"/>
        <w:widowControl/>
        <w:spacing w:after="0" w:line="560" w:lineRule="exact"/>
        <w:ind w:firstLine="640" w:firstLineChars="200"/>
        <w:jc w:val="right"/>
        <w:rPr>
          <w:rFonts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年1月1</w:t>
      </w: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57"/>
    <w:rsid w:val="00004CF5"/>
    <w:rsid w:val="00024E42"/>
    <w:rsid w:val="000345B4"/>
    <w:rsid w:val="00035216"/>
    <w:rsid w:val="00061B07"/>
    <w:rsid w:val="0006501F"/>
    <w:rsid w:val="000C22ED"/>
    <w:rsid w:val="000D3D1E"/>
    <w:rsid w:val="000F383D"/>
    <w:rsid w:val="001215E4"/>
    <w:rsid w:val="001551B9"/>
    <w:rsid w:val="00156800"/>
    <w:rsid w:val="00165287"/>
    <w:rsid w:val="00172237"/>
    <w:rsid w:val="00177AFC"/>
    <w:rsid w:val="00195112"/>
    <w:rsid w:val="00195C7C"/>
    <w:rsid w:val="001A4452"/>
    <w:rsid w:val="001B463C"/>
    <w:rsid w:val="001C2DCD"/>
    <w:rsid w:val="001E256B"/>
    <w:rsid w:val="001E7B38"/>
    <w:rsid w:val="001F3CA4"/>
    <w:rsid w:val="001F3D15"/>
    <w:rsid w:val="001F53D4"/>
    <w:rsid w:val="00203EC3"/>
    <w:rsid w:val="00213531"/>
    <w:rsid w:val="00221CC4"/>
    <w:rsid w:val="00244E3E"/>
    <w:rsid w:val="00263B33"/>
    <w:rsid w:val="002B625C"/>
    <w:rsid w:val="002C58DB"/>
    <w:rsid w:val="002E5D54"/>
    <w:rsid w:val="002E67E1"/>
    <w:rsid w:val="002F35E4"/>
    <w:rsid w:val="0031159C"/>
    <w:rsid w:val="003441BE"/>
    <w:rsid w:val="003539B4"/>
    <w:rsid w:val="00361762"/>
    <w:rsid w:val="00363DDF"/>
    <w:rsid w:val="0039205B"/>
    <w:rsid w:val="003A230F"/>
    <w:rsid w:val="003A3153"/>
    <w:rsid w:val="003A57D1"/>
    <w:rsid w:val="003B2EF6"/>
    <w:rsid w:val="003C27DE"/>
    <w:rsid w:val="003C3846"/>
    <w:rsid w:val="003E2D20"/>
    <w:rsid w:val="003F52B2"/>
    <w:rsid w:val="003F6FE9"/>
    <w:rsid w:val="004076B3"/>
    <w:rsid w:val="00410A4A"/>
    <w:rsid w:val="004155DE"/>
    <w:rsid w:val="00416BC8"/>
    <w:rsid w:val="004449B9"/>
    <w:rsid w:val="004518C4"/>
    <w:rsid w:val="0045219A"/>
    <w:rsid w:val="00455BE3"/>
    <w:rsid w:val="0045733C"/>
    <w:rsid w:val="00462BD1"/>
    <w:rsid w:val="0046641C"/>
    <w:rsid w:val="0048058E"/>
    <w:rsid w:val="004A2D10"/>
    <w:rsid w:val="004D50F5"/>
    <w:rsid w:val="004E0762"/>
    <w:rsid w:val="004E1E7F"/>
    <w:rsid w:val="004E30D9"/>
    <w:rsid w:val="004F0C56"/>
    <w:rsid w:val="005113D1"/>
    <w:rsid w:val="0051560E"/>
    <w:rsid w:val="00546499"/>
    <w:rsid w:val="0054791A"/>
    <w:rsid w:val="00592243"/>
    <w:rsid w:val="005930D6"/>
    <w:rsid w:val="005F2577"/>
    <w:rsid w:val="00605185"/>
    <w:rsid w:val="0062262B"/>
    <w:rsid w:val="00622752"/>
    <w:rsid w:val="006373B2"/>
    <w:rsid w:val="006457E7"/>
    <w:rsid w:val="00653E08"/>
    <w:rsid w:val="00673AB3"/>
    <w:rsid w:val="00681292"/>
    <w:rsid w:val="006854F7"/>
    <w:rsid w:val="006B416F"/>
    <w:rsid w:val="006E0DFF"/>
    <w:rsid w:val="006F1D2B"/>
    <w:rsid w:val="0071110A"/>
    <w:rsid w:val="0071441F"/>
    <w:rsid w:val="0073505F"/>
    <w:rsid w:val="0075631C"/>
    <w:rsid w:val="00773F1C"/>
    <w:rsid w:val="00776A6F"/>
    <w:rsid w:val="0078711F"/>
    <w:rsid w:val="007F701A"/>
    <w:rsid w:val="008074D5"/>
    <w:rsid w:val="00807FE9"/>
    <w:rsid w:val="008226FB"/>
    <w:rsid w:val="0082402B"/>
    <w:rsid w:val="00831B01"/>
    <w:rsid w:val="00843B00"/>
    <w:rsid w:val="008560C3"/>
    <w:rsid w:val="00893EF5"/>
    <w:rsid w:val="008A7057"/>
    <w:rsid w:val="008B43DB"/>
    <w:rsid w:val="008D04B4"/>
    <w:rsid w:val="008E7927"/>
    <w:rsid w:val="008F28A6"/>
    <w:rsid w:val="00904CA4"/>
    <w:rsid w:val="009102B2"/>
    <w:rsid w:val="009160F6"/>
    <w:rsid w:val="009231FA"/>
    <w:rsid w:val="009413F6"/>
    <w:rsid w:val="00973EB1"/>
    <w:rsid w:val="009A72A5"/>
    <w:rsid w:val="009B314C"/>
    <w:rsid w:val="009B6A99"/>
    <w:rsid w:val="009C1854"/>
    <w:rsid w:val="009C7FFB"/>
    <w:rsid w:val="009D0157"/>
    <w:rsid w:val="009E6762"/>
    <w:rsid w:val="00A07E74"/>
    <w:rsid w:val="00A126E1"/>
    <w:rsid w:val="00A17F65"/>
    <w:rsid w:val="00A36890"/>
    <w:rsid w:val="00A40BEE"/>
    <w:rsid w:val="00A43397"/>
    <w:rsid w:val="00A77CA1"/>
    <w:rsid w:val="00A81B6C"/>
    <w:rsid w:val="00AA1919"/>
    <w:rsid w:val="00AA2CFC"/>
    <w:rsid w:val="00AB4557"/>
    <w:rsid w:val="00AE4342"/>
    <w:rsid w:val="00AF0A0B"/>
    <w:rsid w:val="00B03267"/>
    <w:rsid w:val="00B20805"/>
    <w:rsid w:val="00B4577F"/>
    <w:rsid w:val="00B76FE3"/>
    <w:rsid w:val="00BB08FE"/>
    <w:rsid w:val="00BD7155"/>
    <w:rsid w:val="00BE00D7"/>
    <w:rsid w:val="00C0791E"/>
    <w:rsid w:val="00C20AB8"/>
    <w:rsid w:val="00C24168"/>
    <w:rsid w:val="00C32825"/>
    <w:rsid w:val="00C34FCB"/>
    <w:rsid w:val="00C35E2F"/>
    <w:rsid w:val="00C45260"/>
    <w:rsid w:val="00C727B3"/>
    <w:rsid w:val="00C95677"/>
    <w:rsid w:val="00C9768C"/>
    <w:rsid w:val="00CA1A71"/>
    <w:rsid w:val="00CA3057"/>
    <w:rsid w:val="00CB2E2A"/>
    <w:rsid w:val="00CC518B"/>
    <w:rsid w:val="00D22310"/>
    <w:rsid w:val="00D23448"/>
    <w:rsid w:val="00D54B8B"/>
    <w:rsid w:val="00D6313B"/>
    <w:rsid w:val="00D75309"/>
    <w:rsid w:val="00D77BF0"/>
    <w:rsid w:val="00D821EE"/>
    <w:rsid w:val="00DD499D"/>
    <w:rsid w:val="00DE7F16"/>
    <w:rsid w:val="00DF3350"/>
    <w:rsid w:val="00E151D4"/>
    <w:rsid w:val="00E322B9"/>
    <w:rsid w:val="00ED48D7"/>
    <w:rsid w:val="00ED6409"/>
    <w:rsid w:val="00EE7323"/>
    <w:rsid w:val="00EE7AD5"/>
    <w:rsid w:val="00F2143F"/>
    <w:rsid w:val="00F40E98"/>
    <w:rsid w:val="00F665AB"/>
    <w:rsid w:val="00FB5EF6"/>
    <w:rsid w:val="00FC2F58"/>
    <w:rsid w:val="00FC53FA"/>
    <w:rsid w:val="00FD4423"/>
    <w:rsid w:val="00FD78D3"/>
    <w:rsid w:val="00FE729E"/>
    <w:rsid w:val="00FF041C"/>
    <w:rsid w:val="07FB42F3"/>
    <w:rsid w:val="0EBA7112"/>
    <w:rsid w:val="15AF2F46"/>
    <w:rsid w:val="1F0711FD"/>
    <w:rsid w:val="2E694DC8"/>
    <w:rsid w:val="475363EA"/>
    <w:rsid w:val="66E552BB"/>
    <w:rsid w:val="69E2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99" w:semiHidden="0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7"/>
    <w:qFormat/>
    <w:uiPriority w:val="99"/>
    <w:pPr>
      <w:keepNext/>
      <w:keepLines/>
      <w:spacing w:before="260" w:after="260" w:line="416" w:lineRule="auto"/>
      <w:outlineLvl w:val="2"/>
    </w:pPr>
    <w:rPr>
      <w:rFonts w:ascii="??" w:hAnsi="??" w:cs="??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1"/>
    <w:qFormat/>
    <w:uiPriority w:val="0"/>
    <w:pPr>
      <w:spacing w:after="120"/>
    </w:pPr>
    <w:rPr>
      <w:rFonts w:ascii="Times New Roman" w:hAnsi="Times New Roman" w:eastAsia="仿宋_GB2312" w:cs="仿宋_GB2312"/>
      <w:bCs/>
      <w:sz w:val="32"/>
      <w:szCs w:val="32"/>
    </w:rPr>
  </w:style>
  <w:style w:type="paragraph" w:styleId="4">
    <w:name w:val="Balloon Text"/>
    <w:basedOn w:val="1"/>
    <w:link w:val="19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5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footnote text"/>
    <w:basedOn w:val="1"/>
    <w:link w:val="20"/>
    <w:qFormat/>
    <w:uiPriority w:val="99"/>
    <w:pPr>
      <w:snapToGrid w:val="0"/>
      <w:jc w:val="left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after="150"/>
      <w:jc w:val="left"/>
    </w:pPr>
    <w:rPr>
      <w:kern w:val="0"/>
      <w:sz w:val="24"/>
    </w:rPr>
  </w:style>
  <w:style w:type="table" w:styleId="10">
    <w:name w:val="Table Grid"/>
    <w:basedOn w:val="9"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FollowedHyperlink"/>
    <w:basedOn w:val="11"/>
    <w:semiHidden/>
    <w:unhideWhenUsed/>
    <w:qFormat/>
    <w:uiPriority w:val="99"/>
    <w:rPr>
      <w:color w:val="800080"/>
      <w:u w:val="none"/>
    </w:rPr>
  </w:style>
  <w:style w:type="character" w:styleId="14">
    <w:name w:val="Hyperlink"/>
    <w:basedOn w:val="11"/>
    <w:semiHidden/>
    <w:unhideWhenUsed/>
    <w:qFormat/>
    <w:uiPriority w:val="99"/>
    <w:rPr>
      <w:color w:val="0000FF"/>
      <w:u w:val="none"/>
    </w:rPr>
  </w:style>
  <w:style w:type="character" w:customStyle="1" w:styleId="15">
    <w:name w:val="页眉 Char"/>
    <w:basedOn w:val="11"/>
    <w:link w:val="6"/>
    <w:qFormat/>
    <w:uiPriority w:val="99"/>
    <w:rPr>
      <w:sz w:val="18"/>
      <w:szCs w:val="18"/>
    </w:rPr>
  </w:style>
  <w:style w:type="character" w:customStyle="1" w:styleId="16">
    <w:name w:val="页脚 Char"/>
    <w:basedOn w:val="11"/>
    <w:link w:val="5"/>
    <w:qFormat/>
    <w:uiPriority w:val="99"/>
    <w:rPr>
      <w:sz w:val="18"/>
      <w:szCs w:val="18"/>
    </w:rPr>
  </w:style>
  <w:style w:type="character" w:customStyle="1" w:styleId="17">
    <w:name w:val="标题 3 Char"/>
    <w:basedOn w:val="11"/>
    <w:link w:val="2"/>
    <w:qFormat/>
    <w:uiPriority w:val="99"/>
    <w:rPr>
      <w:rFonts w:ascii="??" w:hAnsi="??" w:eastAsia="宋体" w:cs="??"/>
      <w:b/>
      <w:bCs/>
      <w:sz w:val="32"/>
      <w:szCs w:val="32"/>
    </w:rPr>
  </w:style>
  <w:style w:type="paragraph" w:customStyle="1" w:styleId="18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customStyle="1" w:styleId="19">
    <w:name w:val="批注框文本 Char"/>
    <w:basedOn w:val="11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0">
    <w:name w:val="脚注文本 Char"/>
    <w:basedOn w:val="11"/>
    <w:link w:val="7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1">
    <w:name w:val="正文文本 Char"/>
    <w:basedOn w:val="11"/>
    <w:link w:val="3"/>
    <w:qFormat/>
    <w:uiPriority w:val="0"/>
    <w:rPr>
      <w:rFonts w:ascii="Times New Roman" w:hAnsi="Times New Roman" w:eastAsia="仿宋_GB2312" w:cs="仿宋_GB2312"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6557727-FDE4-4160-9A90-15D3C14E790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gq</Company>
  <Pages>7</Pages>
  <Words>494</Words>
  <Characters>2818</Characters>
  <Lines>23</Lines>
  <Paragraphs>6</Paragraphs>
  <TotalTime>6</TotalTime>
  <ScaleCrop>false</ScaleCrop>
  <LinksUpToDate>false</LinksUpToDate>
  <CharactersWithSpaces>3306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2019-10-14T08:08:00Z</dcterms:created>
  <dc:creator>lb</dc:creator>
  <cp:lastModifiedBy>胡梦涵</cp:lastModifiedBy>
  <cp:lastPrinted>2020-01-10T02:38:00Z</cp:lastPrinted>
  <dcterms:modified xsi:type="dcterms:W3CDTF">2021-11-17T03:19:02Z</dcterms:modified>
  <cp:revision>159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3FD09E6946034C6D9DD2E7C2E5573019</vt:lpwstr>
  </property>
</Properties>
</file>