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heme="majorEastAsia" w:hAnsiTheme="majorEastAsia" w:eastAsiaTheme="majorEastAsia"/>
          <w:b/>
          <w:sz w:val="44"/>
          <w:szCs w:val="44"/>
        </w:rPr>
      </w:pPr>
    </w:p>
    <w:p>
      <w:pPr>
        <w:spacing w:line="560" w:lineRule="exact"/>
        <w:jc w:val="center"/>
        <w:rPr>
          <w:rFonts w:asciiTheme="majorEastAsia" w:hAnsiTheme="majorEastAsia" w:eastAsiaTheme="majorEastAsia"/>
          <w:b/>
          <w:sz w:val="40"/>
          <w:szCs w:val="40"/>
        </w:rPr>
      </w:pPr>
      <w:r>
        <w:rPr>
          <w:rFonts w:hint="eastAsia" w:asciiTheme="majorEastAsia" w:hAnsiTheme="majorEastAsia" w:eastAsiaTheme="majorEastAsia"/>
          <w:b/>
          <w:sz w:val="40"/>
          <w:szCs w:val="40"/>
        </w:rPr>
        <w:t>高青县畜牧渔业服务中心2020年政府信息公开工作年度报告</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本报告根据《中华人民共和国政府信息公开条例》（国务院令第711号，以下简称《条例》）要求，由高青县畜牧渔业服务中心办公室综合本单位政府信息公开工作情况编制。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报告全文由总体情况、主动公开政府信息情况、收到和处理政府信息公开申请情况、政府信息公开行政复议行政诉讼情况、存在的主要问题及改进情况、其他需要报告的事项6个部分组成。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报告中所列数据统计期限自2020年1月1日始，至2020年12月31日止。报告电子版可在高青县人民政府门户网站（www.gaoqing.gov.cn）查阅和下载。如对报告内容有疑问，请与高青县畜牧渔业服务中心办公室联系（地址：高青县城黄河路82号；邮编：256300；电话：0533-6962941；传真：0533-6962941）。</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一、总体情况</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（一）体制机制建设</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2020年，高青县畜牧渔业服务中心继续深入贯彻《中华人民共和国政府信息公开条例》，认真落实《国务院办公厅关于印发2020年政务公开工作要点的通知》、《山东省人民政府办公厅关于印发2020年山东省政务公开工作要点的通知》和《淄博市人民政府办公室关于印发2020年淄博市政务公开工作方案的通知》部署的各项任务，紧紧围绕县委、县政府中心工作及群众关注关切，深化重点领域信息公开，完善政务公开制度建设，坚持以公开为常态、不公开为例外，推动行政权力全过程公开、公共服务全流程公开、社会关切全方位回应，切实提高群众满意度、获得感。我单位政府信息公开组织工作由武海峰同志分管，由中心办公室、财务科、生产科、兽药饲料科、疫病防控中心、渔业养护科及陈琳同志具体负责。</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（二）主动公开</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1.人大代表建议和政协委员提案办理结果公示方面：</w:t>
      </w:r>
      <w:r>
        <w:rPr>
          <w:rFonts w:hint="eastAsia" w:ascii="仿宋_GB2312" w:eastAsia="仿宋_GB2312"/>
          <w:sz w:val="32"/>
          <w:szCs w:val="32"/>
        </w:rPr>
        <w:t>2020年，全中心收到建议提案0件，制发政府规章0件，规范性文件0 件。</w:t>
      </w:r>
    </w:p>
    <w:p>
      <w:pPr>
        <w:spacing w:line="560" w:lineRule="exact"/>
        <w:ind w:firstLine="640" w:firstLineChars="200"/>
        <w:rPr>
          <w:rFonts w:hint="default" w:ascii="仿宋_GB2312" w:eastAsia="仿宋_GB2312"/>
          <w:sz w:val="32"/>
          <w:szCs w:val="32"/>
          <w:lang w:val="en-US" w:eastAsia="zh-CN"/>
        </w:rPr>
      </w:pPr>
      <w:bookmarkStart w:id="0" w:name="_GoBack"/>
      <w:r>
        <w:rPr>
          <w:rFonts w:hint="eastAsia" w:ascii="仿宋_GB2312" w:eastAsia="仿宋_GB2312"/>
          <w:sz w:val="32"/>
          <w:szCs w:val="32"/>
          <w:lang w:val="en-US" w:eastAsia="zh-CN"/>
        </w:rPr>
        <w:t xml:space="preserve">2.主动公开政策文件。2020年高青县畜牧渔业服务中心主动公开政策文件，其中部门文件1项、政策解读1项、人事任免1项。 </w:t>
      </w:r>
    </w:p>
    <w:bookmarkEnd w:id="0"/>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3.主动公开财政信息。2020年高青县畜牧渔业服务中心主动公开上年度财政决算详情、本年度财政预算情况。</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（三）依申请公开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1.收到和处理政府信息公开申请情况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2020年，我单位共收到政府信息公开申请0件。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2.收费和减免情况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2020年，我单位在政府信息公开申请办理过程中，未收取任何费用。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3.政府信息公开行政复议、行政诉讼情况</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2020年，因政府信息公开引起的行政复议0件，行政诉讼0件。</w:t>
      </w:r>
      <w:r>
        <w:rPr>
          <w:rFonts w:ascii="仿宋_GB2312" w:eastAsia="仿宋_GB2312"/>
          <w:sz w:val="32"/>
          <w:szCs w:val="32"/>
        </w:rPr>
        <w:t> </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（四）政府信息管理</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一是加强政府信息规范管理，完善相关制度；二是加强政府信息公开培训，增强业务知识。</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（五）平台建设</w:t>
      </w:r>
    </w:p>
    <w:p>
      <w:pPr>
        <w:pStyle w:val="6"/>
        <w:shd w:val="clear" w:color="auto" w:fill="FFFFFF"/>
        <w:spacing w:before="0" w:beforeAutospacing="0" w:after="0" w:afterAutospacing="0" w:line="431" w:lineRule="atLeast"/>
        <w:ind w:firstLine="480"/>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一是强化部署推动。中心将深化政务公开、大力营造风清气正的政务公开生态作为一项重要工作，统一部署，统筹推进；中心党组会议将政务信息公开作为经常性议题进行研究部署；继续明确由党组成员分管政务公开工作，并向社会公开。</w:t>
      </w:r>
    </w:p>
    <w:p>
      <w:pPr>
        <w:pStyle w:val="6"/>
        <w:shd w:val="clear" w:color="auto" w:fill="FFFFFF"/>
        <w:spacing w:before="0" w:beforeAutospacing="0" w:after="0" w:afterAutospacing="0" w:line="431" w:lineRule="atLeast"/>
        <w:ind w:firstLine="480"/>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二是抓好贯彻落实。中心及时对照政务信息公开考核发现的问题进行整改，列出问题清单，明确责任时限和责任人，抓好整改落实；做好政务网站信息公开维护工作，及时发布业务相关信息。</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（六）监督保障</w:t>
      </w:r>
    </w:p>
    <w:p>
      <w:pPr>
        <w:pStyle w:val="6"/>
        <w:shd w:val="clear" w:color="auto" w:fill="FFFFFF"/>
        <w:spacing w:before="0" w:beforeAutospacing="0" w:after="0" w:afterAutospacing="0" w:line="431" w:lineRule="atLeast"/>
        <w:ind w:firstLine="480"/>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一是加强工作考核。</w:t>
      </w:r>
    </w:p>
    <w:p>
      <w:pPr>
        <w:pStyle w:val="6"/>
        <w:shd w:val="clear" w:color="auto" w:fill="FFFFFF"/>
        <w:spacing w:before="0" w:beforeAutospacing="0" w:after="0" w:afterAutospacing="0" w:line="431" w:lineRule="atLeast"/>
        <w:ind w:firstLine="480"/>
        <w:rPr>
          <w:rFonts w:hint="eastAsia"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二是强化责任追究。</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二、主动公开政府信息情况</w:t>
      </w:r>
    </w:p>
    <w:p>
      <w:pPr>
        <w:spacing w:line="560" w:lineRule="exact"/>
        <w:ind w:firstLine="640" w:firstLineChars="200"/>
        <w:rPr>
          <w:rFonts w:ascii="黑体" w:hAnsi="黑体" w:eastAsia="黑体"/>
          <w:sz w:val="32"/>
          <w:szCs w:val="32"/>
        </w:rPr>
      </w:pPr>
    </w:p>
    <w:tbl>
      <w:tblPr>
        <w:tblStyle w:val="7"/>
        <w:tblW w:w="8705" w:type="dxa"/>
        <w:jc w:val="center"/>
        <w:tblLayout w:type="autofit"/>
        <w:tblCellMar>
          <w:top w:w="0" w:type="dxa"/>
          <w:left w:w="108" w:type="dxa"/>
          <w:bottom w:w="0" w:type="dxa"/>
          <w:right w:w="108" w:type="dxa"/>
        </w:tblCellMar>
      </w:tblPr>
      <w:tblGrid>
        <w:gridCol w:w="2752"/>
        <w:gridCol w:w="1984"/>
        <w:gridCol w:w="1985"/>
        <w:gridCol w:w="1984"/>
      </w:tblGrid>
      <w:tr>
        <w:trPr>
          <w:trHeight w:val="495"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b/>
                <w:color w:val="333333"/>
                <w:kern w:val="0"/>
                <w:sz w:val="24"/>
                <w:szCs w:val="24"/>
              </w:rPr>
            </w:pPr>
            <w:r>
              <w:rPr>
                <w:rFonts w:hint="eastAsia" w:ascii="宋体" w:hAnsi="宋体" w:eastAsia="宋体" w:cs="宋体"/>
                <w:b/>
                <w:color w:val="333333"/>
                <w:kern w:val="0"/>
                <w:sz w:val="24"/>
                <w:szCs w:val="24"/>
              </w:rPr>
              <w:t>第二十条第（一）项</w:t>
            </w:r>
          </w:p>
        </w:tc>
      </w:tr>
      <w:tr>
        <w:tblPrEx>
          <w:tblCellMar>
            <w:top w:w="0" w:type="dxa"/>
            <w:left w:w="108" w:type="dxa"/>
            <w:bottom w:w="0" w:type="dxa"/>
            <w:right w:w="108" w:type="dxa"/>
          </w:tblCellMar>
        </w:tblPrEx>
        <w:trPr>
          <w:trHeight w:val="88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本年新</w:t>
            </w:r>
            <w:r>
              <w:rPr>
                <w:rFonts w:ascii="宋体" w:hAnsi="宋体" w:eastAsia="宋体" w:cs="宋体"/>
                <w:color w:val="333333"/>
                <w:kern w:val="0"/>
                <w:sz w:val="24"/>
                <w:szCs w:val="24"/>
              </w:rPr>
              <w:t>制作数量</w:t>
            </w:r>
          </w:p>
        </w:tc>
        <w:tc>
          <w:tcPr>
            <w:tcW w:w="1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本年新</w:t>
            </w:r>
            <w:r>
              <w:rPr>
                <w:rFonts w:ascii="宋体" w:hAnsi="宋体" w:eastAsia="宋体" w:cs="宋体"/>
                <w:color w:val="333333"/>
                <w:kern w:val="0"/>
                <w:sz w:val="24"/>
                <w:szCs w:val="24"/>
              </w:rPr>
              <w:t>公开数量</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对外公开总数量</w:t>
            </w:r>
          </w:p>
        </w:tc>
      </w:tr>
      <w:tr>
        <w:tblPrEx>
          <w:tblCellMar>
            <w:top w:w="0" w:type="dxa"/>
            <w:left w:w="108" w:type="dxa"/>
            <w:bottom w:w="0" w:type="dxa"/>
            <w:right w:w="108" w:type="dxa"/>
          </w:tblCellMar>
        </w:tblPrEx>
        <w:trPr>
          <w:trHeight w:val="69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规章</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0</w:t>
            </w:r>
          </w:p>
        </w:tc>
        <w:tc>
          <w:tcPr>
            <w:tcW w:w="1985"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eastAsia="宋体" w:cs="宋体"/>
                <w:color w:val="333333"/>
                <w:kern w:val="0"/>
                <w:sz w:val="24"/>
                <w:szCs w:val="24"/>
              </w:rPr>
            </w:pPr>
            <w:r>
              <w:rPr>
                <w:rFonts w:hint="eastAsia" w:ascii="宋体" w:hAnsi="Calibri" w:eastAsia="宋体" w:cs="Times New Roman"/>
                <w:color w:val="000000"/>
                <w:kern w:val="0"/>
                <w:sz w:val="24"/>
                <w:szCs w:val="24"/>
              </w:rPr>
              <w:t> 0</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　0</w:t>
            </w:r>
          </w:p>
        </w:tc>
      </w:tr>
      <w:tr>
        <w:tblPrEx>
          <w:tblCellMar>
            <w:top w:w="0" w:type="dxa"/>
            <w:left w:w="108" w:type="dxa"/>
            <w:bottom w:w="0" w:type="dxa"/>
            <w:right w:w="108" w:type="dxa"/>
          </w:tblCellMar>
        </w:tblPrEx>
        <w:trPr>
          <w:trHeight w:val="57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规范性文件</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0</w:t>
            </w:r>
          </w:p>
        </w:tc>
        <w:tc>
          <w:tcPr>
            <w:tcW w:w="1985"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宋体" w:cs="宋体"/>
                <w:color w:val="333333"/>
                <w:kern w:val="0"/>
                <w:sz w:val="24"/>
                <w:szCs w:val="24"/>
              </w:rPr>
            </w:pPr>
            <w:r>
              <w:rPr>
                <w:rFonts w:hint="eastAsia" w:ascii="宋体" w:hAnsi="Calibri" w:eastAsia="宋体" w:cs="Times New Roman"/>
                <w:color w:val="000000"/>
                <w:kern w:val="0"/>
                <w:sz w:val="24"/>
                <w:szCs w:val="24"/>
              </w:rPr>
              <w:t> 0</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　0</w:t>
            </w:r>
          </w:p>
        </w:tc>
      </w:tr>
      <w:tr>
        <w:tblPrEx>
          <w:tblCellMar>
            <w:top w:w="0" w:type="dxa"/>
            <w:left w:w="108" w:type="dxa"/>
            <w:bottom w:w="0" w:type="dxa"/>
            <w:right w:w="108" w:type="dxa"/>
          </w:tblCellMar>
        </w:tblPrEx>
        <w:trPr>
          <w:trHeight w:val="480"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b/>
                <w:color w:val="333333"/>
                <w:kern w:val="0"/>
                <w:sz w:val="24"/>
                <w:szCs w:val="24"/>
              </w:rPr>
              <w:t>第二十条第（五）项</w:t>
            </w:r>
          </w:p>
        </w:tc>
      </w:tr>
      <w:tr>
        <w:tblPrEx>
          <w:tblCellMar>
            <w:top w:w="0" w:type="dxa"/>
            <w:left w:w="108" w:type="dxa"/>
            <w:bottom w:w="0" w:type="dxa"/>
            <w:right w:w="108" w:type="dxa"/>
          </w:tblCellMar>
        </w:tblPrEx>
        <w:trPr>
          <w:trHeight w:val="63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上一年项目数量</w:t>
            </w:r>
          </w:p>
        </w:tc>
        <w:tc>
          <w:tcPr>
            <w:tcW w:w="1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本年增/减</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处理决定数量</w:t>
            </w:r>
          </w:p>
        </w:tc>
      </w:tr>
      <w:tr>
        <w:tblPrEx>
          <w:tblCellMar>
            <w:top w:w="0" w:type="dxa"/>
            <w:left w:w="108" w:type="dxa"/>
            <w:bottom w:w="0" w:type="dxa"/>
            <w:right w:w="108" w:type="dxa"/>
          </w:tblCellMar>
        </w:tblPrEx>
        <w:trPr>
          <w:trHeight w:val="670"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行政许可</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　0</w:t>
            </w:r>
          </w:p>
        </w:tc>
        <w:tc>
          <w:tcPr>
            <w:tcW w:w="1985"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　0</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　0</w:t>
            </w:r>
          </w:p>
        </w:tc>
      </w:tr>
      <w:tr>
        <w:tblPrEx>
          <w:tblCellMar>
            <w:top w:w="0" w:type="dxa"/>
            <w:left w:w="108" w:type="dxa"/>
            <w:bottom w:w="0" w:type="dxa"/>
            <w:right w:w="108" w:type="dxa"/>
          </w:tblCellMar>
        </w:tblPrEx>
        <w:trPr>
          <w:trHeight w:val="69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其他对外管理服务事项</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　0</w:t>
            </w:r>
          </w:p>
        </w:tc>
        <w:tc>
          <w:tcPr>
            <w:tcW w:w="1985"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　0</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　0</w:t>
            </w:r>
          </w:p>
        </w:tc>
      </w:tr>
      <w:tr>
        <w:tblPrEx>
          <w:tblCellMar>
            <w:top w:w="0" w:type="dxa"/>
            <w:left w:w="108" w:type="dxa"/>
            <w:bottom w:w="0" w:type="dxa"/>
            <w:right w:w="108" w:type="dxa"/>
          </w:tblCellMar>
        </w:tblPrEx>
        <w:trPr>
          <w:trHeight w:val="406"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b/>
                <w:color w:val="333333"/>
                <w:kern w:val="0"/>
                <w:sz w:val="24"/>
                <w:szCs w:val="24"/>
              </w:rPr>
              <w:t>第二十条第（六）项</w:t>
            </w:r>
          </w:p>
        </w:tc>
      </w:tr>
      <w:tr>
        <w:tblPrEx>
          <w:tblCellMar>
            <w:top w:w="0" w:type="dxa"/>
            <w:left w:w="108" w:type="dxa"/>
            <w:bottom w:w="0" w:type="dxa"/>
            <w:right w:w="108" w:type="dxa"/>
          </w:tblCellMar>
        </w:tblPrEx>
        <w:trPr>
          <w:trHeight w:val="63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上一年项目数量</w:t>
            </w:r>
          </w:p>
        </w:tc>
        <w:tc>
          <w:tcPr>
            <w:tcW w:w="1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本年增/减</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处理决定数量</w:t>
            </w:r>
          </w:p>
        </w:tc>
      </w:tr>
      <w:tr>
        <w:tblPrEx>
          <w:tblCellMar>
            <w:top w:w="0" w:type="dxa"/>
            <w:left w:w="108" w:type="dxa"/>
            <w:bottom w:w="0" w:type="dxa"/>
            <w:right w:w="108" w:type="dxa"/>
          </w:tblCellMar>
        </w:tblPrEx>
        <w:trPr>
          <w:trHeight w:val="56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行政处罚</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　0</w:t>
            </w:r>
          </w:p>
        </w:tc>
        <w:tc>
          <w:tcPr>
            <w:tcW w:w="1985"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　0</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　0</w:t>
            </w:r>
          </w:p>
        </w:tc>
      </w:tr>
      <w:tr>
        <w:tblPrEx>
          <w:tblCellMar>
            <w:top w:w="0" w:type="dxa"/>
            <w:left w:w="108" w:type="dxa"/>
            <w:bottom w:w="0" w:type="dxa"/>
            <w:right w:w="108" w:type="dxa"/>
          </w:tblCellMar>
        </w:tblPrEx>
        <w:trPr>
          <w:trHeight w:val="57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行政强制</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　0</w:t>
            </w:r>
          </w:p>
        </w:tc>
        <w:tc>
          <w:tcPr>
            <w:tcW w:w="1985"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　0</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　0</w:t>
            </w:r>
          </w:p>
        </w:tc>
      </w:tr>
      <w:tr>
        <w:tblPrEx>
          <w:tblCellMar>
            <w:top w:w="0" w:type="dxa"/>
            <w:left w:w="108" w:type="dxa"/>
            <w:bottom w:w="0" w:type="dxa"/>
            <w:right w:w="108" w:type="dxa"/>
          </w:tblCellMar>
        </w:tblPrEx>
        <w:trPr>
          <w:trHeight w:val="474"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b/>
                <w:color w:val="333333"/>
                <w:kern w:val="0"/>
                <w:sz w:val="24"/>
                <w:szCs w:val="24"/>
              </w:rPr>
              <w:t>第二十条第（八）项</w:t>
            </w:r>
          </w:p>
        </w:tc>
      </w:tr>
      <w:tr>
        <w:tblPrEx>
          <w:tblCellMar>
            <w:top w:w="0" w:type="dxa"/>
            <w:left w:w="108" w:type="dxa"/>
            <w:bottom w:w="0" w:type="dxa"/>
            <w:right w:w="108" w:type="dxa"/>
          </w:tblCellMar>
        </w:tblPrEx>
        <w:trPr>
          <w:trHeight w:val="270"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上一年项目数量</w:t>
            </w:r>
          </w:p>
        </w:tc>
        <w:tc>
          <w:tcPr>
            <w:tcW w:w="3969"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本年增/减</w:t>
            </w:r>
          </w:p>
        </w:tc>
      </w:tr>
      <w:tr>
        <w:tblPrEx>
          <w:tblCellMar>
            <w:top w:w="0" w:type="dxa"/>
            <w:left w:w="108" w:type="dxa"/>
            <w:bottom w:w="0" w:type="dxa"/>
            <w:right w:w="108" w:type="dxa"/>
          </w:tblCellMar>
        </w:tblPrEx>
        <w:trPr>
          <w:trHeight w:val="72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行政事业性收费</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　0</w:t>
            </w:r>
          </w:p>
        </w:tc>
        <w:tc>
          <w:tcPr>
            <w:tcW w:w="3969"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Calibri" w:eastAsia="宋体" w:cs="Times New Roman"/>
                <w:color w:val="000000"/>
                <w:kern w:val="0"/>
                <w:sz w:val="24"/>
                <w:szCs w:val="24"/>
              </w:rPr>
              <w:t> 0</w:t>
            </w:r>
          </w:p>
        </w:tc>
      </w:tr>
      <w:tr>
        <w:tblPrEx>
          <w:tblCellMar>
            <w:top w:w="0" w:type="dxa"/>
            <w:left w:w="108" w:type="dxa"/>
            <w:bottom w:w="0" w:type="dxa"/>
            <w:right w:w="108" w:type="dxa"/>
          </w:tblCellMar>
        </w:tblPrEx>
        <w:trPr>
          <w:trHeight w:val="476"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b/>
                <w:color w:val="333333"/>
                <w:kern w:val="0"/>
                <w:sz w:val="24"/>
                <w:szCs w:val="24"/>
              </w:rPr>
              <w:t>第二十条第（九）项</w:t>
            </w:r>
          </w:p>
        </w:tc>
      </w:tr>
      <w:tr>
        <w:tblPrEx>
          <w:tblCellMar>
            <w:top w:w="0" w:type="dxa"/>
            <w:left w:w="108" w:type="dxa"/>
            <w:bottom w:w="0" w:type="dxa"/>
            <w:right w:w="108" w:type="dxa"/>
          </w:tblCellMar>
        </w:tblPrEx>
        <w:trPr>
          <w:trHeight w:val="585"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采购项目数量</w:t>
            </w:r>
          </w:p>
        </w:tc>
        <w:tc>
          <w:tcPr>
            <w:tcW w:w="3969"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采购总金额</w:t>
            </w:r>
          </w:p>
        </w:tc>
      </w:tr>
      <w:tr>
        <w:tblPrEx>
          <w:tblCellMar>
            <w:top w:w="0" w:type="dxa"/>
            <w:left w:w="108" w:type="dxa"/>
            <w:bottom w:w="0" w:type="dxa"/>
            <w:right w:w="108" w:type="dxa"/>
          </w:tblCellMar>
        </w:tblPrEx>
        <w:trPr>
          <w:trHeight w:val="748"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政府集中采购</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　5</w:t>
            </w:r>
          </w:p>
        </w:tc>
        <w:tc>
          <w:tcPr>
            <w:tcW w:w="3969"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685.803万元</w:t>
            </w:r>
          </w:p>
        </w:tc>
      </w:tr>
    </w:tbl>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黑体" w:hAnsi="黑体" w:eastAsia="黑体"/>
          <w:sz w:val="32"/>
          <w:szCs w:val="32"/>
        </w:rPr>
        <w:sectPr>
          <w:pgSz w:w="11906" w:h="16838"/>
          <w:pgMar w:top="1440" w:right="1800" w:bottom="1440" w:left="1800" w:header="851" w:footer="992" w:gutter="0"/>
          <w:cols w:space="425" w:num="1"/>
          <w:docGrid w:type="lines" w:linePitch="312" w:charSpace="0"/>
        </w:sect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三、收到和处理政府信息公开申请情况</w:t>
      </w:r>
    </w:p>
    <w:tbl>
      <w:tblPr>
        <w:tblStyle w:val="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855"/>
        <w:gridCol w:w="2130"/>
        <w:gridCol w:w="825"/>
        <w:gridCol w:w="765"/>
        <w:gridCol w:w="765"/>
        <w:gridCol w:w="825"/>
        <w:gridCol w:w="990"/>
        <w:gridCol w:w="720"/>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（本列数据的勾稽关系为：第一项加第二项之和，等于第三项加第四项之和）</w:t>
            </w:r>
          </w:p>
        </w:tc>
        <w:tc>
          <w:tcPr>
            <w:tcW w:w="5592"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25" w:type="dxa"/>
            <w:vMerge w:val="restart"/>
            <w:tcBorders>
              <w:top w:val="nil"/>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自然人</w:t>
            </w:r>
          </w:p>
        </w:tc>
        <w:tc>
          <w:tcPr>
            <w:tcW w:w="4065"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法人或其他组织</w:t>
            </w:r>
          </w:p>
        </w:tc>
        <w:tc>
          <w:tcPr>
            <w:tcW w:w="702"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5592"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商业企业</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科研机构</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社会公益组织</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法律服务机构</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其他</w:t>
            </w:r>
          </w:p>
        </w:tc>
        <w:tc>
          <w:tcPr>
            <w:tcW w:w="702"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3479"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Calibri" w:hAnsi="Calibri" w:eastAsia="宋体" w:cs="Times New Roman"/>
                <w:color w:val="333333"/>
                <w:szCs w:val="21"/>
              </w:rPr>
              <w:t>一、本年新收政府信息公开申请数量</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0</w:t>
            </w:r>
            <w:r>
              <w:rPr>
                <w:rFonts w:ascii="Calibri" w:hAnsi="Calibri" w:eastAsia="宋体" w:cs="Times New Roman"/>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3479"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Calibri" w:hAnsi="Calibri" w:eastAsia="宋体" w:cs="Times New Roman"/>
                <w:color w:val="333333"/>
                <w:szCs w:val="21"/>
              </w:rPr>
              <w:t>二、上年结转政府信息公开申请数量</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49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三、本年度办理结果</w:t>
            </w:r>
          </w:p>
        </w:tc>
        <w:tc>
          <w:tcPr>
            <w:tcW w:w="298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（一）予以公开</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（二）部分公开（区分处理的，只计这一情形，不计其他情形）</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restart"/>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（三）不予公开</w:t>
            </w: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1.属于国家秘密</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2.其他法律行政法规禁止公开</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3.危及“三安全一稳定”</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4.保护第三方合法权益</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5.属于三类内部事务信息</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6.属于四类过程性信息</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7.属于行政执法案卷</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8.属于行政查询事项</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restart"/>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（四）无法提供</w:t>
            </w: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1.本机关不掌握相关政府信息</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2.没有现成信息需要另行制作</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3.补正后申请内容仍不明确</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restart"/>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（五）不予处理</w:t>
            </w: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1.信访举报投诉类申请</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2.重复申请</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3.要求提供公开出版物</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4.无正当理由大量反复申请</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5.要求行政机关确认或重新出具已获取信息</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（六）其他处理</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（七）总计</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Calibri" w:hAnsi="Calibri" w:eastAsia="宋体" w:cs="Times New Roman"/>
                <w:color w:val="333333"/>
                <w:szCs w:val="21"/>
              </w:rPr>
              <w:t>四、结转下年度继续办理</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宋体" w:hAnsi="宋体" w:eastAsia="宋体" w:cs="宋体"/>
                <w:color w:val="333333"/>
                <w:kern w:val="0"/>
                <w:szCs w:val="21"/>
              </w:rPr>
              <w:t>0</w:t>
            </w:r>
          </w:p>
        </w:tc>
      </w:tr>
    </w:tbl>
    <w:p>
      <w:pPr>
        <w:spacing w:line="560" w:lineRule="exact"/>
        <w:ind w:firstLine="640" w:firstLineChars="200"/>
        <w:rPr>
          <w:rFonts w:ascii="黑体" w:hAnsi="黑体" w:eastAsia="黑体"/>
          <w:sz w:val="32"/>
          <w:szCs w:val="32"/>
        </w:rPr>
        <w:sectPr>
          <w:pgSz w:w="11906" w:h="16838"/>
          <w:pgMar w:top="1134" w:right="1797" w:bottom="1134" w:left="1797" w:header="851" w:footer="992" w:gutter="0"/>
          <w:cols w:space="425" w:num="1"/>
          <w:docGrid w:type="linesAndChars" w:linePitch="312" w:charSpace="0"/>
        </w:sect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四、政府信息公开行政复议、行政诉讼情况</w:t>
      </w:r>
    </w:p>
    <w:tbl>
      <w:tblPr>
        <w:tblStyle w:val="7"/>
        <w:tblW w:w="10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1"/>
        <w:gridCol w:w="707"/>
        <w:gridCol w:w="707"/>
        <w:gridCol w:w="707"/>
        <w:gridCol w:w="566"/>
        <w:gridCol w:w="707"/>
        <w:gridCol w:w="706"/>
        <w:gridCol w:w="755"/>
        <w:gridCol w:w="659"/>
        <w:gridCol w:w="549"/>
        <w:gridCol w:w="725"/>
        <w:gridCol w:w="699"/>
        <w:gridCol w:w="714"/>
        <w:gridCol w:w="707"/>
        <w:gridCol w:w="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27" w:type="dxa"/>
            <w:gridSpan w:val="5"/>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行政复议</w:t>
            </w:r>
          </w:p>
        </w:tc>
        <w:tc>
          <w:tcPr>
            <w:tcW w:w="6629" w:type="dxa"/>
            <w:gridSpan w:val="10"/>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733" w:type="dxa"/>
            <w:vMerge w:val="restart"/>
            <w:tcBorders>
              <w:top w:val="nil"/>
              <w:left w:val="single" w:color="auto" w:sz="4" w:space="0"/>
              <w:bottom w:val="single" w:color="auto" w:sz="4" w:space="0"/>
              <w:right w:val="single" w:color="auto" w:sz="4" w:space="0"/>
            </w:tcBorders>
            <w:vAlign w:val="center"/>
          </w:tcPr>
          <w:p>
            <w:pPr>
              <w:widowControl/>
              <w:jc w:val="center"/>
              <w:rPr>
                <w:rFonts w:ascii="Calibri" w:hAnsi="Calibri" w:eastAsia="宋体" w:cs="Times New Roman"/>
                <w:color w:val="333333"/>
                <w:sz w:val="20"/>
                <w:szCs w:val="20"/>
              </w:rPr>
            </w:pPr>
            <w:r>
              <w:rPr>
                <w:rFonts w:hint="eastAsia" w:ascii="Calibri" w:hAnsi="Calibri" w:eastAsia="宋体" w:cs="Times New Roman"/>
                <w:color w:val="333333"/>
                <w:sz w:val="20"/>
                <w:szCs w:val="20"/>
              </w:rPr>
              <w:t>结果</w:t>
            </w:r>
          </w:p>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维持</w:t>
            </w:r>
          </w:p>
        </w:tc>
        <w:tc>
          <w:tcPr>
            <w:tcW w:w="709" w:type="dxa"/>
            <w:vMerge w:val="restart"/>
            <w:tcBorders>
              <w:top w:val="nil"/>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结果纠正</w:t>
            </w:r>
          </w:p>
        </w:tc>
        <w:tc>
          <w:tcPr>
            <w:tcW w:w="709"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其他结果</w:t>
            </w:r>
          </w:p>
        </w:tc>
        <w:tc>
          <w:tcPr>
            <w:tcW w:w="709"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尚未审结</w:t>
            </w:r>
          </w:p>
        </w:tc>
        <w:tc>
          <w:tcPr>
            <w:tcW w:w="567"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总计</w:t>
            </w:r>
          </w:p>
        </w:tc>
        <w:tc>
          <w:tcPr>
            <w:tcW w:w="3384"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未经复议直接起诉</w:t>
            </w:r>
          </w:p>
        </w:tc>
        <w:tc>
          <w:tcPr>
            <w:tcW w:w="3245"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7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709"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709"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709"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56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结果维持</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结果纠正</w:t>
            </w:r>
          </w:p>
        </w:tc>
        <w:tc>
          <w:tcPr>
            <w:tcW w:w="75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其他结果</w:t>
            </w:r>
          </w:p>
        </w:tc>
        <w:tc>
          <w:tcPr>
            <w:tcW w:w="66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尚未审结</w:t>
            </w:r>
          </w:p>
        </w:tc>
        <w:tc>
          <w:tcPr>
            <w:tcW w:w="549"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总计</w:t>
            </w:r>
          </w:p>
        </w:tc>
        <w:tc>
          <w:tcPr>
            <w:tcW w:w="72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结果维持</w:t>
            </w:r>
          </w:p>
        </w:tc>
        <w:tc>
          <w:tcPr>
            <w:tcW w:w="70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结果纠正</w:t>
            </w:r>
          </w:p>
        </w:tc>
        <w:tc>
          <w:tcPr>
            <w:tcW w:w="716"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其他结果</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尚未审结</w:t>
            </w:r>
          </w:p>
        </w:tc>
        <w:tc>
          <w:tcPr>
            <w:tcW w:w="39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jc w:val="center"/>
        </w:trPr>
        <w:tc>
          <w:tcPr>
            <w:tcW w:w="73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ascii="Calibri" w:hAnsi="Calibri" w:eastAsia="宋体" w:cs="Times New Roman"/>
                <w:color w:val="333333"/>
                <w:sz w:val="20"/>
                <w:szCs w:val="20"/>
              </w:rPr>
              <w:t> </w:t>
            </w:r>
          </w:p>
        </w:tc>
        <w:tc>
          <w:tcPr>
            <w:tcW w:w="70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ascii="Calibri" w:hAnsi="Calibri" w:eastAsia="宋体" w:cs="Times New Roman"/>
                <w:color w:val="333333"/>
                <w:sz w:val="20"/>
                <w:szCs w:val="20"/>
              </w:rPr>
              <w:t> </w:t>
            </w:r>
          </w:p>
        </w:tc>
        <w:tc>
          <w:tcPr>
            <w:tcW w:w="70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ascii="Calibri" w:hAnsi="Calibri" w:eastAsia="宋体" w:cs="Times New Roman"/>
                <w:color w:val="333333"/>
                <w:sz w:val="20"/>
                <w:szCs w:val="20"/>
              </w:rPr>
              <w:t> </w:t>
            </w:r>
          </w:p>
        </w:tc>
        <w:tc>
          <w:tcPr>
            <w:tcW w:w="70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ascii="Calibri" w:hAnsi="Calibri" w:eastAsia="宋体" w:cs="Times New Roman"/>
                <w:color w:val="333333"/>
                <w:sz w:val="20"/>
                <w:szCs w:val="20"/>
              </w:rPr>
              <w:t> </w:t>
            </w:r>
          </w:p>
        </w:tc>
        <w:tc>
          <w:tcPr>
            <w:tcW w:w="567"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rPr>
              <w:t>0</w:t>
            </w:r>
          </w:p>
        </w:tc>
        <w:tc>
          <w:tcPr>
            <w:tcW w:w="70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 </w:t>
            </w:r>
          </w:p>
        </w:tc>
        <w:tc>
          <w:tcPr>
            <w:tcW w:w="708"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 </w:t>
            </w:r>
          </w:p>
        </w:tc>
        <w:tc>
          <w:tcPr>
            <w:tcW w:w="757"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 </w:t>
            </w:r>
          </w:p>
        </w:tc>
        <w:tc>
          <w:tcPr>
            <w:tcW w:w="66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 </w:t>
            </w:r>
          </w:p>
        </w:tc>
        <w:tc>
          <w:tcPr>
            <w:tcW w:w="54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 0</w:t>
            </w:r>
          </w:p>
        </w:tc>
        <w:tc>
          <w:tcPr>
            <w:tcW w:w="727"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 </w:t>
            </w:r>
          </w:p>
        </w:tc>
        <w:tc>
          <w:tcPr>
            <w:tcW w:w="70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 </w:t>
            </w:r>
          </w:p>
        </w:tc>
        <w:tc>
          <w:tcPr>
            <w:tcW w:w="716"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 </w:t>
            </w:r>
          </w:p>
        </w:tc>
        <w:tc>
          <w:tcPr>
            <w:tcW w:w="70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 </w:t>
            </w:r>
          </w:p>
        </w:tc>
        <w:tc>
          <w:tcPr>
            <w:tcW w:w="392" w:type="dxa"/>
            <w:tcBorders>
              <w:top w:val="single" w:color="auto" w:sz="4" w:space="0"/>
              <w:left w:val="nil"/>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r>
              <w:rPr>
                <w:rFonts w:hint="eastAsia" w:ascii="宋体" w:hAnsi="宋体" w:eastAsia="宋体" w:cs="宋体"/>
                <w:color w:val="333333"/>
                <w:kern w:val="0"/>
                <w:szCs w:val="21"/>
              </w:rPr>
              <w:t>0</w:t>
            </w:r>
          </w:p>
        </w:tc>
      </w:tr>
    </w:tbl>
    <w:p>
      <w:pPr>
        <w:spacing w:line="560" w:lineRule="exact"/>
        <w:ind w:firstLine="640" w:firstLineChars="200"/>
        <w:rPr>
          <w:rFonts w:ascii="黑体" w:hAnsi="黑体" w:eastAsia="黑体"/>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五、存在的主要问题及改进情况</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（一）主要问题</w:t>
      </w:r>
    </w:p>
    <w:p>
      <w:pPr>
        <w:pStyle w:val="6"/>
        <w:shd w:val="clear" w:color="auto" w:fill="FFFFFF"/>
        <w:spacing w:before="0" w:beforeAutospacing="0" w:after="0" w:afterAutospacing="0" w:line="431" w:lineRule="atLeast"/>
        <w:ind w:firstLine="480"/>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2020年，本部门政府信息公开工作进展顺利，公开力度加大，但是也还存在着一些问题：一是政府信息公开较被动；二是政策解读工作不及时。</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（二）改进措施</w:t>
      </w:r>
    </w:p>
    <w:p>
      <w:pPr>
        <w:pStyle w:val="6"/>
        <w:shd w:val="clear" w:color="auto" w:fill="FFFFFF"/>
        <w:spacing w:before="0" w:beforeAutospacing="0" w:after="0" w:afterAutospacing="0" w:line="431" w:lineRule="atLeast"/>
        <w:ind w:firstLine="480"/>
        <w:rPr>
          <w:rFonts w:hint="eastAsia"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2021年，县畜牧渔业服务中心将加强以下工作，全力推动政府信息公开工作深入开展。</w:t>
      </w:r>
    </w:p>
    <w:p>
      <w:pPr>
        <w:pStyle w:val="6"/>
        <w:shd w:val="clear" w:color="auto" w:fill="FFFFFF"/>
        <w:spacing w:before="0" w:beforeAutospacing="0" w:after="0" w:afterAutospacing="0" w:line="431" w:lineRule="atLeast"/>
        <w:ind w:firstLine="480"/>
        <w:rPr>
          <w:rFonts w:hint="eastAsia"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一是加大政府信息公开工作力度，逐步扩大政府信息公开的覆盖面，做好财政性资金、重大公共政策决策等信息的公开工作。</w:t>
      </w:r>
    </w:p>
    <w:p>
      <w:pPr>
        <w:pStyle w:val="6"/>
        <w:shd w:val="clear" w:color="auto" w:fill="FFFFFF"/>
        <w:spacing w:before="0" w:beforeAutospacing="0" w:after="0" w:afterAutospacing="0" w:line="431" w:lineRule="atLeast"/>
        <w:ind w:firstLine="480"/>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二是进一步提高政府信息公开的业务人员的素质，做好信息公开的培训工作，推进信息公开工作持续深入开展。</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六、其他需要报告的事项</w:t>
      </w:r>
    </w:p>
    <w:p>
      <w:pPr>
        <w:ind w:firstLine="560" w:firstLineChars="200"/>
        <w:rPr>
          <w:rFonts w:ascii="仿宋_GB2312" w:eastAsia="仿宋_GB2312"/>
          <w:sz w:val="28"/>
          <w:szCs w:val="28"/>
        </w:rPr>
      </w:pPr>
      <w:r>
        <w:rPr>
          <w:rFonts w:ascii="仿宋_GB2312" w:eastAsia="仿宋_GB2312"/>
          <w:sz w:val="28"/>
          <w:szCs w:val="28"/>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271FF"/>
    <w:rsid w:val="00003766"/>
    <w:rsid w:val="00011351"/>
    <w:rsid w:val="00033FFE"/>
    <w:rsid w:val="000406A0"/>
    <w:rsid w:val="00050F08"/>
    <w:rsid w:val="00067D0C"/>
    <w:rsid w:val="00097400"/>
    <w:rsid w:val="000B0330"/>
    <w:rsid w:val="000B0934"/>
    <w:rsid w:val="000E4BD9"/>
    <w:rsid w:val="000E69DA"/>
    <w:rsid w:val="000E6B32"/>
    <w:rsid w:val="000F2D8A"/>
    <w:rsid w:val="001010D4"/>
    <w:rsid w:val="00117B4D"/>
    <w:rsid w:val="00123B08"/>
    <w:rsid w:val="001245D4"/>
    <w:rsid w:val="00124A11"/>
    <w:rsid w:val="001366B4"/>
    <w:rsid w:val="00151924"/>
    <w:rsid w:val="00154708"/>
    <w:rsid w:val="00161940"/>
    <w:rsid w:val="00164480"/>
    <w:rsid w:val="0016467B"/>
    <w:rsid w:val="00186A62"/>
    <w:rsid w:val="001A6BB5"/>
    <w:rsid w:val="001B7C65"/>
    <w:rsid w:val="001E217A"/>
    <w:rsid w:val="001E5229"/>
    <w:rsid w:val="001E6FDD"/>
    <w:rsid w:val="001F29C1"/>
    <w:rsid w:val="00206BB2"/>
    <w:rsid w:val="00214DF2"/>
    <w:rsid w:val="00216242"/>
    <w:rsid w:val="00234030"/>
    <w:rsid w:val="00241314"/>
    <w:rsid w:val="00251CC7"/>
    <w:rsid w:val="00256608"/>
    <w:rsid w:val="00266C64"/>
    <w:rsid w:val="002710D2"/>
    <w:rsid w:val="00286935"/>
    <w:rsid w:val="0029082F"/>
    <w:rsid w:val="0029284C"/>
    <w:rsid w:val="0029383C"/>
    <w:rsid w:val="002942DD"/>
    <w:rsid w:val="002A7F25"/>
    <w:rsid w:val="002B5369"/>
    <w:rsid w:val="002D09A1"/>
    <w:rsid w:val="002E3859"/>
    <w:rsid w:val="00310B91"/>
    <w:rsid w:val="00317F8F"/>
    <w:rsid w:val="003336C5"/>
    <w:rsid w:val="003343A1"/>
    <w:rsid w:val="00342B75"/>
    <w:rsid w:val="00361769"/>
    <w:rsid w:val="003A551A"/>
    <w:rsid w:val="003B7614"/>
    <w:rsid w:val="003C1CCB"/>
    <w:rsid w:val="003C66CF"/>
    <w:rsid w:val="003D1317"/>
    <w:rsid w:val="003F3C5A"/>
    <w:rsid w:val="004020BC"/>
    <w:rsid w:val="00417E4F"/>
    <w:rsid w:val="00431DC0"/>
    <w:rsid w:val="0044469E"/>
    <w:rsid w:val="0044565B"/>
    <w:rsid w:val="004622B9"/>
    <w:rsid w:val="00465EE7"/>
    <w:rsid w:val="00474F8C"/>
    <w:rsid w:val="004A3770"/>
    <w:rsid w:val="004A61D9"/>
    <w:rsid w:val="004B1E38"/>
    <w:rsid w:val="004D692C"/>
    <w:rsid w:val="004F225D"/>
    <w:rsid w:val="00503DC2"/>
    <w:rsid w:val="00506018"/>
    <w:rsid w:val="0052384C"/>
    <w:rsid w:val="00530FAE"/>
    <w:rsid w:val="005357E0"/>
    <w:rsid w:val="00561095"/>
    <w:rsid w:val="00565E58"/>
    <w:rsid w:val="00572EE9"/>
    <w:rsid w:val="00575039"/>
    <w:rsid w:val="0058410F"/>
    <w:rsid w:val="005A2D30"/>
    <w:rsid w:val="005A679F"/>
    <w:rsid w:val="005A6855"/>
    <w:rsid w:val="005B2C9D"/>
    <w:rsid w:val="005B60B9"/>
    <w:rsid w:val="005C4E55"/>
    <w:rsid w:val="005C6267"/>
    <w:rsid w:val="005D2717"/>
    <w:rsid w:val="005E176C"/>
    <w:rsid w:val="006437E8"/>
    <w:rsid w:val="0067385D"/>
    <w:rsid w:val="00684540"/>
    <w:rsid w:val="00685243"/>
    <w:rsid w:val="00685FD6"/>
    <w:rsid w:val="0069145A"/>
    <w:rsid w:val="006A5602"/>
    <w:rsid w:val="006C1D61"/>
    <w:rsid w:val="006C61E3"/>
    <w:rsid w:val="006D2B9E"/>
    <w:rsid w:val="006F2052"/>
    <w:rsid w:val="006F32A9"/>
    <w:rsid w:val="0070575A"/>
    <w:rsid w:val="00706842"/>
    <w:rsid w:val="00707521"/>
    <w:rsid w:val="00710874"/>
    <w:rsid w:val="0072048C"/>
    <w:rsid w:val="00746ECD"/>
    <w:rsid w:val="00747284"/>
    <w:rsid w:val="0075282D"/>
    <w:rsid w:val="00754F25"/>
    <w:rsid w:val="00776012"/>
    <w:rsid w:val="0077715A"/>
    <w:rsid w:val="007D6C57"/>
    <w:rsid w:val="007E4180"/>
    <w:rsid w:val="00807CC0"/>
    <w:rsid w:val="00816B92"/>
    <w:rsid w:val="00825613"/>
    <w:rsid w:val="00835FA9"/>
    <w:rsid w:val="00852C30"/>
    <w:rsid w:val="00867D9F"/>
    <w:rsid w:val="0087437C"/>
    <w:rsid w:val="00874582"/>
    <w:rsid w:val="0087509A"/>
    <w:rsid w:val="00885D12"/>
    <w:rsid w:val="008A46AC"/>
    <w:rsid w:val="008D4B35"/>
    <w:rsid w:val="008D62E4"/>
    <w:rsid w:val="008E6862"/>
    <w:rsid w:val="008F0C7F"/>
    <w:rsid w:val="00902E17"/>
    <w:rsid w:val="00907C0F"/>
    <w:rsid w:val="00937389"/>
    <w:rsid w:val="00971010"/>
    <w:rsid w:val="0099580A"/>
    <w:rsid w:val="009C36DF"/>
    <w:rsid w:val="009D2A19"/>
    <w:rsid w:val="009D5915"/>
    <w:rsid w:val="009F4207"/>
    <w:rsid w:val="009F435B"/>
    <w:rsid w:val="009F4D5A"/>
    <w:rsid w:val="009F5FE5"/>
    <w:rsid w:val="009F6DCB"/>
    <w:rsid w:val="00A16507"/>
    <w:rsid w:val="00A304B2"/>
    <w:rsid w:val="00A427EB"/>
    <w:rsid w:val="00A52A9C"/>
    <w:rsid w:val="00A6389A"/>
    <w:rsid w:val="00A7136A"/>
    <w:rsid w:val="00A858D2"/>
    <w:rsid w:val="00A9750E"/>
    <w:rsid w:val="00AD32E2"/>
    <w:rsid w:val="00AD7912"/>
    <w:rsid w:val="00AE68F1"/>
    <w:rsid w:val="00AE6F46"/>
    <w:rsid w:val="00AF6C2E"/>
    <w:rsid w:val="00B0527D"/>
    <w:rsid w:val="00B10618"/>
    <w:rsid w:val="00B209C0"/>
    <w:rsid w:val="00B222E6"/>
    <w:rsid w:val="00B2447E"/>
    <w:rsid w:val="00B52FB0"/>
    <w:rsid w:val="00B6207B"/>
    <w:rsid w:val="00B70AA5"/>
    <w:rsid w:val="00B72BE8"/>
    <w:rsid w:val="00B905A0"/>
    <w:rsid w:val="00B95A40"/>
    <w:rsid w:val="00BA1D87"/>
    <w:rsid w:val="00BA408A"/>
    <w:rsid w:val="00BB0CB9"/>
    <w:rsid w:val="00BD15C4"/>
    <w:rsid w:val="00BE34C2"/>
    <w:rsid w:val="00BF33DF"/>
    <w:rsid w:val="00BF78AB"/>
    <w:rsid w:val="00C01B55"/>
    <w:rsid w:val="00C01FA7"/>
    <w:rsid w:val="00C0203D"/>
    <w:rsid w:val="00C24D73"/>
    <w:rsid w:val="00C421DB"/>
    <w:rsid w:val="00C53C40"/>
    <w:rsid w:val="00C615D5"/>
    <w:rsid w:val="00CB0401"/>
    <w:rsid w:val="00CB2F48"/>
    <w:rsid w:val="00CB2F94"/>
    <w:rsid w:val="00CC6D06"/>
    <w:rsid w:val="00CD066B"/>
    <w:rsid w:val="00CF7A58"/>
    <w:rsid w:val="00D00DA1"/>
    <w:rsid w:val="00D11086"/>
    <w:rsid w:val="00D36A59"/>
    <w:rsid w:val="00D41DCE"/>
    <w:rsid w:val="00D47806"/>
    <w:rsid w:val="00D53DFE"/>
    <w:rsid w:val="00D601F0"/>
    <w:rsid w:val="00D628BA"/>
    <w:rsid w:val="00D72CD5"/>
    <w:rsid w:val="00D847D8"/>
    <w:rsid w:val="00DA5B47"/>
    <w:rsid w:val="00DB1A24"/>
    <w:rsid w:val="00DD1EFA"/>
    <w:rsid w:val="00DE0F65"/>
    <w:rsid w:val="00DE7653"/>
    <w:rsid w:val="00DF152D"/>
    <w:rsid w:val="00E0243C"/>
    <w:rsid w:val="00E2313C"/>
    <w:rsid w:val="00E271FF"/>
    <w:rsid w:val="00E44D4C"/>
    <w:rsid w:val="00E66D92"/>
    <w:rsid w:val="00E76CEC"/>
    <w:rsid w:val="00E8666D"/>
    <w:rsid w:val="00EA56A0"/>
    <w:rsid w:val="00EB284C"/>
    <w:rsid w:val="00EC4878"/>
    <w:rsid w:val="00F07DF7"/>
    <w:rsid w:val="00F227DD"/>
    <w:rsid w:val="00F241FE"/>
    <w:rsid w:val="00F250FA"/>
    <w:rsid w:val="00F33CEA"/>
    <w:rsid w:val="00F43078"/>
    <w:rsid w:val="00F53375"/>
    <w:rsid w:val="00F63D59"/>
    <w:rsid w:val="00F7222E"/>
    <w:rsid w:val="00F81217"/>
    <w:rsid w:val="00F84A56"/>
    <w:rsid w:val="00F85382"/>
    <w:rsid w:val="00F85A95"/>
    <w:rsid w:val="00F86849"/>
    <w:rsid w:val="00F97C97"/>
    <w:rsid w:val="00FA7364"/>
    <w:rsid w:val="00FD6BCF"/>
    <w:rsid w:val="00FE7C2B"/>
    <w:rsid w:val="153F4951"/>
    <w:rsid w:val="5BD27D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unhideWhenUsed/>
    <w:qFormat/>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qFormat/>
    <w:uiPriority w:val="0"/>
    <w:rPr>
      <w:rFonts w:ascii="Verdana" w:hAnsi="Verdana" w:eastAsia="仿宋_GB2312" w:cs="Verdana"/>
      <w:b/>
      <w:bCs/>
      <w:kern w:val="0"/>
      <w:sz w:val="28"/>
      <w:szCs w:val="28"/>
      <w:lang w:eastAsia="en-US"/>
    </w:rPr>
  </w:style>
  <w:style w:type="character" w:customStyle="1" w:styleId="10">
    <w:name w:val="批注框文本 Char"/>
    <w:basedOn w:val="8"/>
    <w:link w:val="3"/>
    <w:semiHidden/>
    <w:qFormat/>
    <w:uiPriority w:val="99"/>
    <w:rPr>
      <w:sz w:val="18"/>
      <w:szCs w:val="18"/>
    </w:rPr>
  </w:style>
  <w:style w:type="character" w:customStyle="1" w:styleId="11">
    <w:name w:val="标题 1 Char"/>
    <w:basedOn w:val="8"/>
    <w:link w:val="2"/>
    <w:uiPriority w:val="9"/>
    <w:rPr>
      <w:rFonts w:ascii="宋体" w:hAnsi="宋体" w:eastAsia="宋体" w:cs="宋体"/>
      <w:b/>
      <w:bCs/>
      <w:kern w:val="36"/>
      <w:sz w:val="48"/>
      <w:szCs w:val="48"/>
    </w:rPr>
  </w:style>
  <w:style w:type="character" w:customStyle="1" w:styleId="12">
    <w:name w:val="页眉 Char"/>
    <w:basedOn w:val="8"/>
    <w:link w:val="5"/>
    <w:uiPriority w:val="99"/>
    <w:rPr>
      <w:sz w:val="18"/>
      <w:szCs w:val="18"/>
    </w:rPr>
  </w:style>
  <w:style w:type="character" w:customStyle="1" w:styleId="13">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gq</Company>
  <Pages>7</Pages>
  <Words>411</Words>
  <Characters>2347</Characters>
  <Lines>19</Lines>
  <Paragraphs>5</Paragraphs>
  <TotalTime>2</TotalTime>
  <ScaleCrop>false</ScaleCrop>
  <LinksUpToDate>false</LinksUpToDate>
  <CharactersWithSpaces>2753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2021-01-08T09:26:00Z</dcterms:created>
  <dc:creator>lb</dc:creator>
  <cp:lastModifiedBy>dell</cp:lastModifiedBy>
  <dcterms:modified xsi:type="dcterms:W3CDTF">2021-05-25T03:14:05Z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