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b/>
          <w:sz w:val="44"/>
          <w:szCs w:val="44"/>
        </w:rPr>
        <w:t>2019年高青县政府信息公开工作年度报告</w:t>
      </w:r>
    </w:p>
    <w:p/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2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2"/>
          <w:sz w:val="32"/>
          <w:szCs w:val="32"/>
        </w:rPr>
        <w:t>本报告按照《中华人民共和国政府信息公开条例》（以下简称《条例》）和《山东省政府信息公开办法》（以下简称《办法》）规定，由高青县</w:t>
      </w:r>
      <w:r>
        <w:rPr>
          <w:rFonts w:hint="eastAsia" w:ascii="仿宋_GB2312" w:hAnsi="仿宋_GB2312" w:eastAsia="仿宋_GB2312" w:cs="仿宋_GB2312"/>
          <w:kern w:val="22"/>
          <w:sz w:val="32"/>
          <w:szCs w:val="32"/>
          <w:lang w:val="en-US" w:eastAsia="zh-CN"/>
        </w:rPr>
        <w:t>畜牧渔业服务中心</w:t>
      </w:r>
      <w:r>
        <w:rPr>
          <w:rFonts w:hint="eastAsia" w:ascii="仿宋_GB2312" w:hAnsi="仿宋_GB2312" w:eastAsia="仿宋_GB2312" w:cs="仿宋_GB2312"/>
          <w:kern w:val="22"/>
          <w:sz w:val="32"/>
          <w:szCs w:val="32"/>
        </w:rPr>
        <w:t>公开工作情况编制。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2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2"/>
          <w:sz w:val="32"/>
          <w:szCs w:val="32"/>
        </w:rPr>
        <w:t>报告全文由总体情况，主动公开政府信息情况，收到和处理政府信息公开申请情况，政府信息公开行政复议、行政诉讼情况，存在的主要问题及改进情况，其他需要报告的事项6个部分组成。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kern w:val="2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2"/>
          <w:sz w:val="32"/>
          <w:szCs w:val="32"/>
        </w:rPr>
        <w:t>报告中所列数据统计期限自2019年1月1日始，至2019年12月31日止。报告电子版可在高青县人民政府门户网站（http://gaoqing.zibo.gov.cn/）查阅和下载。如对报告内容有疑问，请与</w:t>
      </w:r>
      <w:r>
        <w:rPr>
          <w:rFonts w:hint="eastAsia" w:ascii="仿宋_GB2312" w:hAnsi="仿宋_GB2312" w:eastAsia="仿宋_GB2312" w:cs="仿宋_GB2312"/>
          <w:kern w:val="22"/>
          <w:sz w:val="32"/>
          <w:szCs w:val="32"/>
          <w:lang w:val="en-US" w:eastAsia="zh-CN"/>
        </w:rPr>
        <w:t>高青县畜牧渔业服务中心</w:t>
      </w:r>
      <w:r>
        <w:rPr>
          <w:rFonts w:hint="eastAsia" w:ascii="仿宋_GB2312" w:hAnsi="仿宋_GB2312" w:eastAsia="仿宋_GB2312" w:cs="仿宋_GB2312"/>
          <w:kern w:val="22"/>
          <w:sz w:val="32"/>
          <w:szCs w:val="32"/>
        </w:rPr>
        <w:t>办公室联系（地址：高青县城</w:t>
      </w:r>
      <w:r>
        <w:rPr>
          <w:rFonts w:hint="eastAsia" w:ascii="仿宋_GB2312" w:hAnsi="仿宋_GB2312" w:eastAsia="仿宋_GB2312" w:cs="仿宋_GB2312"/>
          <w:kern w:val="22"/>
          <w:sz w:val="32"/>
          <w:szCs w:val="32"/>
          <w:lang w:val="en-US" w:eastAsia="zh-CN"/>
        </w:rPr>
        <w:t>黄河路82号</w:t>
      </w:r>
      <w:r>
        <w:rPr>
          <w:rFonts w:hint="eastAsia" w:ascii="仿宋_GB2312" w:hAnsi="仿宋_GB2312" w:eastAsia="仿宋_GB2312" w:cs="仿宋_GB2312"/>
          <w:kern w:val="22"/>
          <w:sz w:val="32"/>
          <w:szCs w:val="32"/>
        </w:rPr>
        <w:t>；邮编：256300；电话：0533-696</w:t>
      </w:r>
      <w:r>
        <w:rPr>
          <w:rFonts w:hint="eastAsia" w:ascii="仿宋_GB2312" w:hAnsi="仿宋_GB2312" w:eastAsia="仿宋_GB2312" w:cs="仿宋_GB2312"/>
          <w:kern w:val="22"/>
          <w:sz w:val="32"/>
          <w:szCs w:val="32"/>
          <w:lang w:val="en-US" w:eastAsia="zh-CN"/>
        </w:rPr>
        <w:t>2941</w:t>
      </w:r>
      <w:r>
        <w:rPr>
          <w:rFonts w:hint="eastAsia" w:ascii="仿宋_GB2312" w:hAnsi="仿宋_GB2312" w:eastAsia="仿宋_GB2312" w:cs="仿宋_GB2312"/>
          <w:kern w:val="22"/>
          <w:sz w:val="32"/>
          <w:szCs w:val="32"/>
        </w:rPr>
        <w:t>）。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kern w:val="22"/>
          <w:sz w:val="32"/>
          <w:szCs w:val="32"/>
        </w:rPr>
      </w:pPr>
      <w:r>
        <w:rPr>
          <w:rFonts w:hint="eastAsia" w:ascii="黑体" w:hAnsi="黑体" w:eastAsia="黑体"/>
          <w:kern w:val="22"/>
          <w:sz w:val="32"/>
          <w:szCs w:val="32"/>
        </w:rPr>
        <w:t>一、总体情况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kern w:val="22"/>
          <w:sz w:val="32"/>
          <w:szCs w:val="32"/>
        </w:rPr>
        <w:t>2019年，高青县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畜牧渔业服务中心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继续深入贯彻《中华人民共和国政府信息公开条例》，认真落实《国务院办公厅关于印发2019年政务公开工作要点的通知》（国办发〔2019〕14号）、《山东省人民政府办公厅关于印发2019年山东省政务公开工作要点的通知》（鲁政办发〔2019〕15号）和《淄博市人民政府办公室关于印发2019年淄博市政务公开工作方案的通知》（淄政办发〔2019〕5号）部署的各项任务，紧紧围绕县委、县政府中心工作及群众关注关切，深化重点领域信息公开，完善政务公开制度建设，坚持以公开为常态、不公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开为例外，推动行政权力全过程公开、公共服务全流程公开、社会关切全方位回应，切实提高群众满意度、获得感。</w:t>
      </w:r>
    </w:p>
    <w:p>
      <w:pPr>
        <w:pStyle w:val="8"/>
        <w:widowControl/>
        <w:numPr>
          <w:ilvl w:val="0"/>
          <w:numId w:val="1"/>
        </w:numPr>
        <w:spacing w:after="0" w:line="560" w:lineRule="exact"/>
        <w:ind w:firstLine="640" w:firstLineChars="200"/>
        <w:jc w:val="both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kern w:val="22"/>
          <w:sz w:val="32"/>
          <w:szCs w:val="32"/>
        </w:rPr>
        <w:t>体制机制建设。</w:t>
      </w:r>
      <w:r>
        <w:rPr>
          <w:rFonts w:hint="eastAsia" w:ascii="仿宋_GB2312" w:hAnsi="仿宋_GB2312" w:eastAsia="仿宋_GB2312" w:cs="仿宋_GB2312"/>
          <w:color w:val="auto"/>
          <w:kern w:val="22"/>
          <w:sz w:val="32"/>
          <w:szCs w:val="32"/>
          <w:lang w:val="en-US" w:eastAsia="zh-CN"/>
        </w:rPr>
        <w:t>县畜牧渔业服务中心</w:t>
      </w:r>
      <w:r>
        <w:rPr>
          <w:rFonts w:hint="eastAsia" w:ascii="仿宋_GB2312" w:hAnsi="仿宋_GB2312" w:eastAsia="仿宋_GB2312" w:cs="仿宋_GB2312"/>
          <w:color w:val="auto"/>
          <w:kern w:val="22"/>
          <w:sz w:val="32"/>
          <w:szCs w:val="32"/>
        </w:rPr>
        <w:t>党组于年初专门召开政务信息公开工作会议，明确分管负责人和具体负责人，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政务公开工作列入单位领导分工。明确</w:t>
      </w:r>
      <w:r>
        <w:rPr>
          <w:rFonts w:hint="eastAsia" w:ascii="仿宋_GB2312" w:hAnsi="Times New Roman" w:eastAsia="仿宋_GB2312"/>
          <w:color w:val="auto"/>
          <w:sz w:val="32"/>
          <w:szCs w:val="32"/>
          <w:u w:val="none"/>
          <w:lang w:eastAsia="zh-CN"/>
        </w:rPr>
        <w:t>办公室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作为政务公开工作主管科室，具体负责组织协调、指导推进、监督检查全县政务公开工作，切实做到机构到位、责任到位、人员到位、经费到位。</w:t>
      </w:r>
      <w:r>
        <w:rPr>
          <w:rFonts w:hint="eastAsia" w:ascii="仿宋_GB2312" w:hAnsi="仿宋_GB2312" w:eastAsia="仿宋_GB2312" w:cs="仿宋_GB2312"/>
          <w:color w:val="auto"/>
          <w:kern w:val="22"/>
          <w:sz w:val="32"/>
          <w:szCs w:val="32"/>
        </w:rPr>
        <w:t>严格按照县政府要求做好本部门政务信息公开工作。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  <w:t>（二）主动公开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  <w:t>1.主动公开建议提案办理结果情况。2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019</w:t>
      </w:r>
      <w:r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  <w:t>年，全中心收到建议提案0件。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  <w:t>2.公示公告情况。2019年通过高青政务网发布通知公告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4</w:t>
      </w:r>
      <w:r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  <w:t>条，其中工程招投标及中标公告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2</w:t>
      </w:r>
      <w:r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  <w:t>条，事业单位注销登记公告2条。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  <w:t>3..主动公开财政信息。2019年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中心</w:t>
      </w:r>
      <w:r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  <w:t>主动公开上年度财政决算详情、下一年度年度财政预算情况，其中主要公开预算财政支出的主要板块，以及我局“三公”开支情况。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  <w:t>（三）依申请公开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  <w:t>1.收到和处理政府信息公开申请情况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  <w:t>2019年，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县畜牧渔业服务中心</w:t>
      </w:r>
      <w:r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  <w:t>共收到政府信息公开申请0件，2018年度结转政府信息公开申请0件。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  <w:t>2.收费及减免情况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  <w:t>本年度，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县畜牧渔业服务中心</w:t>
      </w:r>
      <w:r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  <w:t>在政府信息公开申请办理过程中，未收取任何费用。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  <w:t>3.政府信息公开行政复议、行政诉讼情况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  <w:t>2019年，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县畜牧渔业服务中心</w:t>
      </w:r>
      <w:r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  <w:t>因政府信息公开被申请行政复议0件、被提起行政诉讼0件。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  <w:t>（四）政府信息管理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县畜牧渔业服务中心</w:t>
      </w:r>
      <w:r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  <w:t>办公室定期对各科室单位政府信息公开工作情况进行检查，局分管领导定期听取政府信息公开工作开展情况汇报，对更新不及时、内容单一的责任单位进行督办，确保主动公开的各类信息在规定时间内公开。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  <w:t>（五）平台建设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  <w:t>充分发挥政府网站作为政务公开第一平台作用，按时维护更新政府信息公开目录、政府信息依申请公开、政府信息公开监督信箱等栏目。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  <w:t>（六）监督保障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  <w:t>一是加强制度建设，进一步规范信息公开程序。根据工作实际，将信息公开各项任务分解落实到各科室单位，提高了信息公开的时效性和准确性。确保信息公开的内容更加充实、公开时间更加及时、公开重点更加突出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  <w:t>二是组织政务公开工作人员学习《中华人民共和国政府信息公开条例》《山东省政府信息公开办法》等文件。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  <w:t>三是通过高青政务网站、工作人员上街宣传、悬挂横幅、发放宣传册等形式主动公开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畜牧渔业</w:t>
      </w:r>
      <w:r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  <w:t>信息，宣传政策及动态，使政务信息公开更加及时、便民、透明。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kern w:val="22"/>
          <w:sz w:val="32"/>
          <w:szCs w:val="32"/>
        </w:rPr>
      </w:pPr>
      <w:r>
        <w:rPr>
          <w:rFonts w:hint="eastAsia" w:ascii="黑体" w:hAnsi="黑体" w:eastAsia="黑体"/>
          <w:kern w:val="22"/>
          <w:sz w:val="32"/>
          <w:szCs w:val="32"/>
        </w:rPr>
        <w:t>二、主动公开政府信息情况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Times New Roman" w:hAnsi="Times New Roman" w:eastAsia="仿宋_GB2312"/>
          <w:kern w:val="22"/>
          <w:sz w:val="32"/>
          <w:szCs w:val="32"/>
        </w:rPr>
        <w:t>2019年，全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中心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制发政府规章</w:t>
      </w:r>
      <w:r>
        <w:rPr>
          <w:rFonts w:hint="eastAsia" w:ascii="Times New Roman" w:hAnsi="Times New Roman" w:eastAsia="仿宋_GB2312"/>
          <w:kern w:val="2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kern w:val="22"/>
          <w:sz w:val="32"/>
          <w:szCs w:val="32"/>
          <w:u w:val="single"/>
          <w:lang w:val="en-US" w:eastAsia="zh-CN"/>
        </w:rPr>
        <w:t>0</w:t>
      </w:r>
      <w:r>
        <w:rPr>
          <w:rFonts w:hint="eastAsia" w:ascii="Times New Roman" w:hAnsi="Times New Roman" w:eastAsia="仿宋_GB2312"/>
          <w:kern w:val="2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件，规范性文件</w:t>
      </w:r>
      <w:r>
        <w:rPr>
          <w:rFonts w:hint="eastAsia" w:ascii="Times New Roman" w:hAnsi="Times New Roman" w:eastAsia="仿宋_GB2312"/>
          <w:kern w:val="22"/>
          <w:sz w:val="32"/>
          <w:szCs w:val="32"/>
          <w:u w:val="single"/>
          <w:lang w:val="en-US" w:eastAsia="zh-CN"/>
        </w:rPr>
        <w:t>0</w:t>
      </w:r>
      <w:r>
        <w:rPr>
          <w:rFonts w:hint="eastAsia" w:ascii="Times New Roman" w:hAnsi="Times New Roman" w:eastAsia="仿宋_GB2312"/>
          <w:kern w:val="2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件，行政许可、行政处罚、行政强制、行政事业性收费、政府集中采购等事项公开情况详见下表。</w:t>
      </w:r>
    </w:p>
    <w:tbl>
      <w:tblPr>
        <w:tblStyle w:val="10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本年新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对外公开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149.88万元（其中县级26.978万元）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政府采购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108.968万元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黑体" w:hAnsi="黑体" w:eastAsia="黑体"/>
          <w:kern w:val="22"/>
          <w:sz w:val="32"/>
          <w:szCs w:val="32"/>
        </w:rPr>
      </w:pPr>
      <w:r>
        <w:rPr>
          <w:rFonts w:hint="eastAsia" w:ascii="黑体" w:hAnsi="黑体" w:eastAsia="黑体"/>
          <w:kern w:val="22"/>
          <w:sz w:val="32"/>
          <w:szCs w:val="32"/>
        </w:rPr>
        <w:t>三、收到和处理政府信息公开申请情况</w:t>
      </w:r>
    </w:p>
    <w:p>
      <w:pPr>
        <w:pStyle w:val="8"/>
        <w:widowControl/>
        <w:spacing w:after="0"/>
        <w:ind w:firstLine="640" w:firstLineChars="200"/>
        <w:jc w:val="both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2019年度，全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中心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共收到政府信息公开申请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件，结转下年度继续办理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件，上年结转政府信息公开申请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件。</w:t>
      </w:r>
    </w:p>
    <w:tbl>
      <w:tblPr>
        <w:tblStyle w:val="10"/>
        <w:tblW w:w="97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567" w:type="dxa"/>
            <w:vMerge w:val="continue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其他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820" w:type="dxa"/>
            <w:gridSpan w:val="3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一、本年新收政府信息公开申请数量</w:t>
            </w:r>
          </w:p>
        </w:tc>
        <w:tc>
          <w:tcPr>
            <w:tcW w:w="567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820" w:type="dxa"/>
            <w:gridSpan w:val="3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二、上年结转政府信息公开申请数量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restart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三、本年度办理结果</w:t>
            </w: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不予处理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693" w:type="dxa"/>
          </w:tcPr>
          <w:p>
            <w:pPr>
              <w:ind w:left="180" w:hanging="180" w:hangingChars="10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6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gridSpan w:val="3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四、结转下年度继续办理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</w:tr>
    </w:tbl>
    <w:p>
      <w:pPr>
        <w:pStyle w:val="8"/>
        <w:widowControl/>
        <w:spacing w:after="0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kern w:val="22"/>
          <w:sz w:val="32"/>
          <w:szCs w:val="32"/>
        </w:rPr>
      </w:pPr>
      <w:r>
        <w:rPr>
          <w:rFonts w:hint="eastAsia" w:ascii="黑体" w:hAnsi="黑体" w:eastAsia="黑体"/>
          <w:kern w:val="22"/>
          <w:sz w:val="32"/>
          <w:szCs w:val="32"/>
        </w:rPr>
        <w:t>四、政府信息公开行政复议、行政诉讼情况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kern w:val="22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2019年，因政府信息公开引起的行政复议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</w:rPr>
        <w:t>件，行政诉讼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</w:rPr>
        <w:t>件。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kern w:val="22"/>
          <w:sz w:val="32"/>
          <w:szCs w:val="32"/>
        </w:rPr>
      </w:pPr>
    </w:p>
    <w:tbl>
      <w:tblPr>
        <w:tblStyle w:val="10"/>
        <w:tblW w:w="1020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结果维持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结果纠正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vAlign w:val="top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default" w:ascii="Calibri" w:hAnsi="Calibri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4"/>
                <w:lang w:val="en-US" w:eastAsia="zh-CN" w:bidi="ar-SA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hint="default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default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黑体" w:hAnsi="黑体" w:eastAsia="黑体"/>
          <w:kern w:val="22"/>
          <w:sz w:val="32"/>
          <w:szCs w:val="32"/>
        </w:rPr>
      </w:pPr>
    </w:p>
    <w:p>
      <w:pPr>
        <w:numPr>
          <w:ilvl w:val="0"/>
          <w:numId w:val="2"/>
        </w:numPr>
        <w:spacing w:line="560" w:lineRule="exact"/>
        <w:ind w:firstLine="640" w:firstLineChars="200"/>
        <w:jc w:val="left"/>
        <w:rPr>
          <w:rFonts w:hint="eastAsia" w:ascii="黑体" w:hAnsi="黑体" w:eastAsia="黑体"/>
          <w:kern w:val="22"/>
          <w:sz w:val="32"/>
          <w:szCs w:val="32"/>
        </w:rPr>
      </w:pPr>
      <w:r>
        <w:rPr>
          <w:rFonts w:hint="eastAsia" w:ascii="黑体" w:hAnsi="黑体" w:eastAsia="黑体"/>
          <w:kern w:val="22"/>
          <w:sz w:val="32"/>
          <w:szCs w:val="32"/>
        </w:rPr>
        <w:t>存在的主要问题及改进情况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  <w:t>2019年，本部门政府信息公开工作进展顺利，公开力度加大，但是也还存在着一些问题：一是主动公开政府信息的全面性有待提升。二是，信息公开工作人员业务能力有待提升，对工作人员的培训力度不够。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560" w:lineRule="exact"/>
        <w:ind w:left="0" w:firstLine="640" w:firstLineChars="2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  <w:t>2020年，县畜牧渔业服务中心将重点抓好以下方面工作：全力推动政府信息公开工作深入开展，提升政务信息公开的全面性，定期召开政务信息公开培训会议，加强对工作人员的培训力度。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560" w:lineRule="exact"/>
        <w:ind w:left="0" w:firstLine="640" w:firstLineChars="200"/>
        <w:jc w:val="left"/>
        <w:textAlignment w:val="auto"/>
        <w:rPr>
          <w:rFonts w:ascii="黑体" w:hAnsi="黑体" w:eastAsia="黑体"/>
          <w:kern w:val="22"/>
          <w:sz w:val="32"/>
          <w:szCs w:val="32"/>
        </w:rPr>
      </w:pPr>
      <w:r>
        <w:rPr>
          <w:rFonts w:hint="eastAsia" w:ascii="黑体" w:hAnsi="黑体" w:eastAsia="黑体"/>
          <w:kern w:val="22"/>
          <w:sz w:val="32"/>
          <w:szCs w:val="32"/>
        </w:rPr>
        <w:t>六、其他需要报告的事项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无。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8"/>
        <w:widowControl/>
        <w:spacing w:after="0" w:line="560" w:lineRule="exact"/>
        <w:ind w:firstLine="640" w:firstLineChars="200"/>
        <w:jc w:val="right"/>
        <w:rPr>
          <w:rFonts w:hint="default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高青县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畜牧渔业服务中心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年1月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57B6E"/>
    <w:multiLevelType w:val="singleLevel"/>
    <w:tmpl w:val="70557B6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F1CAC95"/>
    <w:multiLevelType w:val="singleLevel"/>
    <w:tmpl w:val="7F1CAC9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57"/>
    <w:rsid w:val="00004CF5"/>
    <w:rsid w:val="00024E42"/>
    <w:rsid w:val="000345B4"/>
    <w:rsid w:val="00035216"/>
    <w:rsid w:val="00061B07"/>
    <w:rsid w:val="0006501F"/>
    <w:rsid w:val="000C22ED"/>
    <w:rsid w:val="000D3D1E"/>
    <w:rsid w:val="000F383D"/>
    <w:rsid w:val="001215E4"/>
    <w:rsid w:val="001551B9"/>
    <w:rsid w:val="00156800"/>
    <w:rsid w:val="00165287"/>
    <w:rsid w:val="00172237"/>
    <w:rsid w:val="00177AFC"/>
    <w:rsid w:val="00195112"/>
    <w:rsid w:val="00195C7C"/>
    <w:rsid w:val="001A4452"/>
    <w:rsid w:val="001B463C"/>
    <w:rsid w:val="001C2DCD"/>
    <w:rsid w:val="001E256B"/>
    <w:rsid w:val="001E7B38"/>
    <w:rsid w:val="001F3CA4"/>
    <w:rsid w:val="001F3D15"/>
    <w:rsid w:val="001F53D4"/>
    <w:rsid w:val="00203EC3"/>
    <w:rsid w:val="00213531"/>
    <w:rsid w:val="00221CC4"/>
    <w:rsid w:val="00244E3E"/>
    <w:rsid w:val="00263B33"/>
    <w:rsid w:val="002B625C"/>
    <w:rsid w:val="002C58DB"/>
    <w:rsid w:val="002E5D54"/>
    <w:rsid w:val="002E67E1"/>
    <w:rsid w:val="002F35E4"/>
    <w:rsid w:val="0031159C"/>
    <w:rsid w:val="003441BE"/>
    <w:rsid w:val="003539B4"/>
    <w:rsid w:val="00361762"/>
    <w:rsid w:val="00363DDF"/>
    <w:rsid w:val="0039205B"/>
    <w:rsid w:val="003A230F"/>
    <w:rsid w:val="003A3153"/>
    <w:rsid w:val="003A57D1"/>
    <w:rsid w:val="003B2EF6"/>
    <w:rsid w:val="003C27DE"/>
    <w:rsid w:val="003C3846"/>
    <w:rsid w:val="003E2D20"/>
    <w:rsid w:val="003F52B2"/>
    <w:rsid w:val="003F6FE9"/>
    <w:rsid w:val="004076B3"/>
    <w:rsid w:val="00410A4A"/>
    <w:rsid w:val="004155DE"/>
    <w:rsid w:val="00416BC8"/>
    <w:rsid w:val="004449B9"/>
    <w:rsid w:val="004518C4"/>
    <w:rsid w:val="0045219A"/>
    <w:rsid w:val="00455BE3"/>
    <w:rsid w:val="0045733C"/>
    <w:rsid w:val="00462BD1"/>
    <w:rsid w:val="0046641C"/>
    <w:rsid w:val="0048058E"/>
    <w:rsid w:val="004A2D10"/>
    <w:rsid w:val="004D50F5"/>
    <w:rsid w:val="004E0762"/>
    <w:rsid w:val="004E1E7F"/>
    <w:rsid w:val="004E30D9"/>
    <w:rsid w:val="004F0C56"/>
    <w:rsid w:val="005113D1"/>
    <w:rsid w:val="0051560E"/>
    <w:rsid w:val="00546499"/>
    <w:rsid w:val="0054791A"/>
    <w:rsid w:val="00592243"/>
    <w:rsid w:val="005930D6"/>
    <w:rsid w:val="005F2577"/>
    <w:rsid w:val="00605185"/>
    <w:rsid w:val="0062262B"/>
    <w:rsid w:val="00622752"/>
    <w:rsid w:val="006373B2"/>
    <w:rsid w:val="006457E7"/>
    <w:rsid w:val="00653E08"/>
    <w:rsid w:val="00673AB3"/>
    <w:rsid w:val="00681292"/>
    <w:rsid w:val="006854F7"/>
    <w:rsid w:val="006B416F"/>
    <w:rsid w:val="006E0DFF"/>
    <w:rsid w:val="006F1D2B"/>
    <w:rsid w:val="0071110A"/>
    <w:rsid w:val="0071441F"/>
    <w:rsid w:val="0073505F"/>
    <w:rsid w:val="0075631C"/>
    <w:rsid w:val="00773F1C"/>
    <w:rsid w:val="00776A6F"/>
    <w:rsid w:val="0078711F"/>
    <w:rsid w:val="007F701A"/>
    <w:rsid w:val="008074D5"/>
    <w:rsid w:val="00807FE9"/>
    <w:rsid w:val="008226FB"/>
    <w:rsid w:val="0082402B"/>
    <w:rsid w:val="00831B01"/>
    <w:rsid w:val="00843B00"/>
    <w:rsid w:val="008560C3"/>
    <w:rsid w:val="00893EF5"/>
    <w:rsid w:val="008A7057"/>
    <w:rsid w:val="008B43DB"/>
    <w:rsid w:val="008D04B4"/>
    <w:rsid w:val="008E7927"/>
    <w:rsid w:val="008F28A6"/>
    <w:rsid w:val="00904CA4"/>
    <w:rsid w:val="009102B2"/>
    <w:rsid w:val="009160F6"/>
    <w:rsid w:val="009231FA"/>
    <w:rsid w:val="009413F6"/>
    <w:rsid w:val="00973EB1"/>
    <w:rsid w:val="009A72A5"/>
    <w:rsid w:val="009B314C"/>
    <w:rsid w:val="009B6A99"/>
    <w:rsid w:val="009C1854"/>
    <w:rsid w:val="009C7FFB"/>
    <w:rsid w:val="009D0157"/>
    <w:rsid w:val="009E6762"/>
    <w:rsid w:val="00A07E74"/>
    <w:rsid w:val="00A126E1"/>
    <w:rsid w:val="00A17F65"/>
    <w:rsid w:val="00A36890"/>
    <w:rsid w:val="00A40BEE"/>
    <w:rsid w:val="00A43397"/>
    <w:rsid w:val="00A77CA1"/>
    <w:rsid w:val="00A81B6C"/>
    <w:rsid w:val="00AA1919"/>
    <w:rsid w:val="00AA2CFC"/>
    <w:rsid w:val="00AB4557"/>
    <w:rsid w:val="00AE4342"/>
    <w:rsid w:val="00AF0A0B"/>
    <w:rsid w:val="00B03267"/>
    <w:rsid w:val="00B20805"/>
    <w:rsid w:val="00B4577F"/>
    <w:rsid w:val="00B76FE3"/>
    <w:rsid w:val="00BB08FE"/>
    <w:rsid w:val="00BD7155"/>
    <w:rsid w:val="00BE00D7"/>
    <w:rsid w:val="00C0791E"/>
    <w:rsid w:val="00C20AB8"/>
    <w:rsid w:val="00C24168"/>
    <w:rsid w:val="00C32825"/>
    <w:rsid w:val="00C34FCB"/>
    <w:rsid w:val="00C35E2F"/>
    <w:rsid w:val="00C45260"/>
    <w:rsid w:val="00C727B3"/>
    <w:rsid w:val="00C95677"/>
    <w:rsid w:val="00C9768C"/>
    <w:rsid w:val="00CA1A71"/>
    <w:rsid w:val="00CA3057"/>
    <w:rsid w:val="00CB2E2A"/>
    <w:rsid w:val="00CC518B"/>
    <w:rsid w:val="00D22310"/>
    <w:rsid w:val="00D23448"/>
    <w:rsid w:val="00D54B8B"/>
    <w:rsid w:val="00D6313B"/>
    <w:rsid w:val="00D75309"/>
    <w:rsid w:val="00D77BF0"/>
    <w:rsid w:val="00D821EE"/>
    <w:rsid w:val="00DD499D"/>
    <w:rsid w:val="00DE7F16"/>
    <w:rsid w:val="00DF3350"/>
    <w:rsid w:val="00E151D4"/>
    <w:rsid w:val="00E322B9"/>
    <w:rsid w:val="00ED48D7"/>
    <w:rsid w:val="00ED6409"/>
    <w:rsid w:val="00EE7323"/>
    <w:rsid w:val="00EE7AD5"/>
    <w:rsid w:val="00F2143F"/>
    <w:rsid w:val="00F40E98"/>
    <w:rsid w:val="00F665AB"/>
    <w:rsid w:val="00FB5EF6"/>
    <w:rsid w:val="00FC2F58"/>
    <w:rsid w:val="00FC53FA"/>
    <w:rsid w:val="00FD4423"/>
    <w:rsid w:val="00FD78D3"/>
    <w:rsid w:val="00FE729E"/>
    <w:rsid w:val="00FF041C"/>
    <w:rsid w:val="051944C0"/>
    <w:rsid w:val="0A3448AA"/>
    <w:rsid w:val="0BDB3780"/>
    <w:rsid w:val="26D740E3"/>
    <w:rsid w:val="2B0C64B6"/>
    <w:rsid w:val="2C1A0CAC"/>
    <w:rsid w:val="4C2C051C"/>
    <w:rsid w:val="50DD625D"/>
    <w:rsid w:val="63091D0E"/>
    <w:rsid w:val="7EDA60E0"/>
    <w:rsid w:val="7FA4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7"/>
    <w:qFormat/>
    <w:uiPriority w:val="99"/>
    <w:pPr>
      <w:keepNext/>
      <w:keepLines/>
      <w:spacing w:before="260" w:after="260" w:line="416" w:lineRule="auto"/>
      <w:outlineLvl w:val="2"/>
    </w:pPr>
    <w:rPr>
      <w:rFonts w:ascii="??" w:hAnsi="??" w:cs="??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1"/>
    <w:qFormat/>
    <w:uiPriority w:val="0"/>
    <w:pPr>
      <w:spacing w:after="120"/>
    </w:pPr>
    <w:rPr>
      <w:rFonts w:ascii="Times New Roman" w:hAnsi="Times New Roman" w:eastAsia="仿宋_GB2312" w:cs="仿宋_GB2312"/>
      <w:bCs/>
      <w:sz w:val="32"/>
      <w:szCs w:val="32"/>
    </w:r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footnote text"/>
    <w:basedOn w:val="1"/>
    <w:link w:val="20"/>
    <w:qFormat/>
    <w:uiPriority w:val="99"/>
    <w:pPr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after="150"/>
      <w:jc w:val="left"/>
    </w:pPr>
    <w:rPr>
      <w:kern w:val="0"/>
      <w:sz w:val="24"/>
    </w:rPr>
  </w:style>
  <w:style w:type="table" w:styleId="10">
    <w:name w:val="Table Grid"/>
    <w:basedOn w:val="9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FollowedHyperlink"/>
    <w:basedOn w:val="11"/>
    <w:semiHidden/>
    <w:unhideWhenUsed/>
    <w:qFormat/>
    <w:uiPriority w:val="99"/>
    <w:rPr>
      <w:color w:val="800080"/>
      <w:u w:val="none"/>
    </w:rPr>
  </w:style>
  <w:style w:type="character" w:styleId="14">
    <w:name w:val="Hyperlink"/>
    <w:basedOn w:val="11"/>
    <w:semiHidden/>
    <w:unhideWhenUsed/>
    <w:qFormat/>
    <w:uiPriority w:val="99"/>
    <w:rPr>
      <w:color w:val="0000FF"/>
      <w:u w:val="none"/>
    </w:rPr>
  </w:style>
  <w:style w:type="character" w:customStyle="1" w:styleId="15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7">
    <w:name w:val="标题 3 Char"/>
    <w:basedOn w:val="11"/>
    <w:link w:val="2"/>
    <w:qFormat/>
    <w:uiPriority w:val="99"/>
    <w:rPr>
      <w:rFonts w:ascii="??" w:hAnsi="??" w:eastAsia="宋体" w:cs="??"/>
      <w:b/>
      <w:bCs/>
      <w:sz w:val="32"/>
      <w:szCs w:val="32"/>
    </w:rPr>
  </w:style>
  <w:style w:type="paragraph" w:customStyle="1" w:styleId="1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19">
    <w:name w:val="批注框文本 Char"/>
    <w:basedOn w:val="11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脚注文本 Char"/>
    <w:basedOn w:val="11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正文文本 Char"/>
    <w:basedOn w:val="11"/>
    <w:link w:val="3"/>
    <w:qFormat/>
    <w:uiPriority w:val="0"/>
    <w:rPr>
      <w:rFonts w:ascii="Times New Roman" w:hAnsi="Times New Roman" w:eastAsia="仿宋_GB2312" w:cs="仿宋_GB2312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557727-FDE4-4160-9A90-15D3C14E79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7</Pages>
  <Words>494</Words>
  <Characters>2818</Characters>
  <Lines>23</Lines>
  <Paragraphs>6</Paragraphs>
  <TotalTime>2</TotalTime>
  <ScaleCrop>false</ScaleCrop>
  <LinksUpToDate>false</LinksUpToDate>
  <CharactersWithSpaces>3306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2019-10-14T08:08:00Z</dcterms:created>
  <dc:creator>lb</dc:creator>
  <cp:lastModifiedBy>Administrator</cp:lastModifiedBy>
  <cp:lastPrinted>2020-01-10T02:38:00Z</cp:lastPrinted>
  <dcterms:modified xsi:type="dcterms:W3CDTF">2021-05-24T11:13:23Z</dcterms:modified>
  <cp:revision>159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