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高青县</w:t>
      </w:r>
      <w:r>
        <w:rPr>
          <w:rFonts w:hint="eastAsia" w:asciiTheme="majorEastAsia" w:hAnsiTheme="majorEastAsia" w:eastAsiaTheme="majorEastAsia"/>
          <w:b/>
          <w:sz w:val="44"/>
          <w:szCs w:val="44"/>
          <w:lang w:eastAsia="zh-CN"/>
        </w:rPr>
        <w:t>行政审批服务</w:t>
      </w:r>
      <w:r>
        <w:rPr>
          <w:rFonts w:hint="eastAsia" w:asciiTheme="majorEastAsia" w:hAnsiTheme="majorEastAsia" w:eastAsiaTheme="majorEastAsia"/>
          <w:b/>
          <w:sz w:val="44"/>
          <w:szCs w:val="44"/>
        </w:rPr>
        <w:t>局2020年</w:t>
      </w:r>
    </w:p>
    <w:p>
      <w:pPr>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政府信息公开工作年度报告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本报告根据《中华人民共和国政府信息公开条例》（国务院令第711号，以下简称《条例》）要求，由高青县</w:t>
      </w:r>
      <w:r>
        <w:rPr>
          <w:rFonts w:hint="eastAsia" w:ascii="仿宋_GB2312" w:eastAsia="仿宋_GB2312"/>
          <w:sz w:val="32"/>
          <w:szCs w:val="32"/>
          <w:lang w:eastAsia="zh-CN"/>
        </w:rPr>
        <w:t>行政审批服务</w:t>
      </w:r>
      <w:r>
        <w:rPr>
          <w:rFonts w:hint="eastAsia" w:ascii="仿宋_GB2312" w:eastAsia="仿宋_GB2312"/>
          <w:sz w:val="32"/>
          <w:szCs w:val="32"/>
        </w:rPr>
        <w:t>局</w:t>
      </w:r>
      <w:r>
        <w:rPr>
          <w:rFonts w:hint="eastAsia" w:ascii="仿宋_GB2312" w:eastAsia="仿宋_GB2312"/>
          <w:sz w:val="32"/>
          <w:szCs w:val="32"/>
          <w:lang w:eastAsia="zh-CN"/>
        </w:rPr>
        <w:t>业务协调科</w:t>
      </w:r>
      <w:r>
        <w:rPr>
          <w:rFonts w:hint="eastAsia" w:ascii="仿宋_GB2312" w:eastAsia="仿宋_GB2312"/>
          <w:sz w:val="32"/>
          <w:szCs w:val="32"/>
        </w:rPr>
        <w:t>综合本单位政府信息公开工作情况编制。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报告中所列数据统计期限自2020年1月1日始，至2020年12月31日止。报告电子版可在高青县人民政府门户网站（www.gaoqing.gov.cn）查阅和下载。如对报告内容有疑问，请与高青县</w:t>
      </w:r>
      <w:r>
        <w:rPr>
          <w:rFonts w:hint="eastAsia" w:ascii="仿宋_GB2312" w:eastAsia="仿宋_GB2312"/>
          <w:sz w:val="32"/>
          <w:szCs w:val="32"/>
          <w:lang w:eastAsia="zh-CN"/>
        </w:rPr>
        <w:t>行政审批服务</w:t>
      </w:r>
      <w:r>
        <w:rPr>
          <w:rFonts w:hint="eastAsia" w:ascii="仿宋_GB2312" w:eastAsia="仿宋_GB2312"/>
          <w:sz w:val="32"/>
          <w:szCs w:val="32"/>
        </w:rPr>
        <w:t>局</w:t>
      </w:r>
      <w:r>
        <w:rPr>
          <w:rFonts w:hint="eastAsia" w:ascii="仿宋_GB2312" w:eastAsia="仿宋_GB2312"/>
          <w:sz w:val="32"/>
          <w:szCs w:val="32"/>
          <w:lang w:eastAsia="zh-CN"/>
        </w:rPr>
        <w:t>业务协调科</w:t>
      </w:r>
      <w:r>
        <w:rPr>
          <w:rFonts w:hint="eastAsia" w:ascii="仿宋_GB2312" w:eastAsia="仿宋_GB2312"/>
          <w:sz w:val="32"/>
          <w:szCs w:val="32"/>
        </w:rPr>
        <w:t>联系（地址：高青县</w:t>
      </w:r>
      <w:r>
        <w:rPr>
          <w:rFonts w:hint="eastAsia" w:ascii="仿宋_GB2312" w:eastAsia="仿宋_GB2312"/>
          <w:sz w:val="32"/>
          <w:szCs w:val="32"/>
          <w:lang w:eastAsia="zh-CN"/>
        </w:rPr>
        <w:t>高苑东路</w:t>
      </w:r>
      <w:r>
        <w:rPr>
          <w:rFonts w:hint="eastAsia" w:ascii="仿宋_GB2312" w:eastAsia="仿宋_GB2312"/>
          <w:sz w:val="32"/>
          <w:szCs w:val="32"/>
          <w:lang w:val="en-US" w:eastAsia="zh-CN"/>
        </w:rPr>
        <w:t>7</w:t>
      </w:r>
      <w:r>
        <w:rPr>
          <w:rFonts w:hint="eastAsia" w:ascii="仿宋_GB2312" w:eastAsia="仿宋_GB2312"/>
          <w:sz w:val="32"/>
          <w:szCs w:val="32"/>
        </w:rPr>
        <w:t>号；邮编：</w:t>
      </w:r>
      <w:r>
        <w:rPr>
          <w:rFonts w:hint="eastAsia" w:ascii="仿宋_GB2312" w:eastAsia="仿宋_GB2312"/>
          <w:sz w:val="32"/>
          <w:szCs w:val="32"/>
          <w:lang w:val="en-US" w:eastAsia="zh-CN"/>
        </w:rPr>
        <w:t>256300</w:t>
      </w:r>
      <w:r>
        <w:rPr>
          <w:rFonts w:hint="eastAsia" w:ascii="仿宋_GB2312" w:eastAsia="仿宋_GB2312"/>
          <w:sz w:val="32"/>
          <w:szCs w:val="32"/>
        </w:rPr>
        <w:t>；电话：0533-</w:t>
      </w:r>
      <w:r>
        <w:rPr>
          <w:rFonts w:hint="eastAsia" w:ascii="仿宋_GB2312" w:eastAsia="仿宋_GB2312"/>
          <w:sz w:val="32"/>
          <w:szCs w:val="32"/>
          <w:lang w:val="en-US" w:eastAsia="zh-CN"/>
        </w:rPr>
        <w:t>6983502</w:t>
      </w:r>
      <w:r>
        <w:rPr>
          <w:rFonts w:hint="eastAsia" w:ascii="仿宋_GB2312" w:eastAsia="仿宋_GB2312"/>
          <w:sz w:val="32"/>
          <w:szCs w:val="32"/>
        </w:rPr>
        <w:t>；传真：0533-</w:t>
      </w:r>
      <w:r>
        <w:rPr>
          <w:rFonts w:hint="eastAsia" w:ascii="仿宋_GB2312" w:eastAsia="仿宋_GB2312"/>
          <w:sz w:val="32"/>
          <w:szCs w:val="32"/>
          <w:lang w:val="en-US" w:eastAsia="zh-CN"/>
        </w:rPr>
        <w:t>6983505</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w:t>
      </w:r>
      <w:r>
        <w:rPr>
          <w:rFonts w:hint="eastAsia" w:ascii="楷体_GB2312" w:hAnsi="黑体" w:eastAsia="楷体_GB2312"/>
          <w:color w:val="auto"/>
          <w:sz w:val="32"/>
          <w:szCs w:val="32"/>
        </w:rPr>
        <w:t>体制机制建设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成立了政务公开</w:t>
      </w:r>
      <w:r>
        <w:rPr>
          <w:rFonts w:hint="eastAsia" w:ascii="仿宋_GB2312" w:hAnsi="仿宋_GB2312" w:eastAsia="仿宋_GB2312" w:cs="仿宋_GB2312"/>
          <w:sz w:val="32"/>
          <w:szCs w:val="32"/>
        </w:rPr>
        <w:t>领导小组，张华</w:t>
      </w:r>
      <w:r>
        <w:rPr>
          <w:rFonts w:hint="eastAsia" w:ascii="仿宋_GB2312" w:hAnsi="仿宋_GB2312" w:eastAsia="仿宋_GB2312" w:cs="仿宋_GB2312"/>
          <w:sz w:val="32"/>
          <w:szCs w:val="32"/>
          <w:lang w:eastAsia="zh-CN"/>
        </w:rPr>
        <w:t>副局长</w:t>
      </w:r>
      <w:r>
        <w:rPr>
          <w:rFonts w:hint="eastAsia" w:ascii="仿宋_GB2312" w:hAnsi="仿宋_GB2312" w:eastAsia="仿宋_GB2312" w:cs="仿宋_GB2312"/>
          <w:sz w:val="32"/>
          <w:szCs w:val="32"/>
        </w:rPr>
        <w:t>为组长（负责公开信息的终审），</w:t>
      </w:r>
      <w:r>
        <w:rPr>
          <w:rFonts w:hint="eastAsia" w:ascii="仿宋_GB2312" w:hAnsi="仿宋_GB2312" w:eastAsia="仿宋_GB2312" w:cs="仿宋_GB2312"/>
          <w:sz w:val="32"/>
          <w:szCs w:val="32"/>
          <w:lang w:eastAsia="zh-CN"/>
        </w:rPr>
        <w:t>相关科室</w:t>
      </w:r>
      <w:r>
        <w:rPr>
          <w:rFonts w:hint="eastAsia" w:ascii="仿宋_GB2312" w:hAnsi="仿宋_GB2312" w:eastAsia="仿宋_GB2312" w:cs="仿宋_GB2312"/>
          <w:sz w:val="32"/>
          <w:szCs w:val="32"/>
        </w:rPr>
        <w:t>负责人（负责本单位、</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室相关信息的整理，并及时上报领导小组办公室）为成员的领导小组，领导小组下设办公室，由贾强</w:t>
      </w:r>
      <w:r>
        <w:rPr>
          <w:rFonts w:hint="eastAsia" w:ascii="仿宋_GB2312" w:hAnsi="仿宋_GB2312" w:eastAsia="仿宋_GB2312" w:cs="仿宋_GB2312"/>
          <w:sz w:val="32"/>
          <w:szCs w:val="32"/>
          <w:lang w:eastAsia="zh-CN"/>
        </w:rPr>
        <w:t>同志</w:t>
      </w:r>
      <w:r>
        <w:rPr>
          <w:rFonts w:hint="eastAsia" w:ascii="仿宋_GB2312" w:hAnsi="仿宋_GB2312" w:eastAsia="仿宋_GB2312" w:cs="仿宋_GB2312"/>
          <w:sz w:val="32"/>
          <w:szCs w:val="32"/>
        </w:rPr>
        <w:t>兼任办公室主任（负责公开信息的初审与修改），张行鹏为</w:t>
      </w:r>
      <w:r>
        <w:rPr>
          <w:rFonts w:hint="eastAsia" w:ascii="仿宋_GB2312" w:hAnsi="仿宋_GB2312" w:eastAsia="仿宋_GB2312" w:cs="仿宋_GB2312"/>
          <w:sz w:val="32"/>
          <w:szCs w:val="32"/>
          <w:lang w:eastAsia="zh-CN"/>
        </w:rPr>
        <w:t>政务公开专职人</w:t>
      </w:r>
      <w:r>
        <w:rPr>
          <w:rFonts w:hint="eastAsia" w:ascii="仿宋_GB2312" w:hAnsi="仿宋_GB2312" w:eastAsia="仿宋_GB2312" w:cs="仿宋_GB2312"/>
          <w:sz w:val="32"/>
          <w:szCs w:val="32"/>
        </w:rPr>
        <w:t>员（负责公开信息的整理，编辑与发布）。该工作领导小组具体负责本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政府信息公开工作的领导、协调、督促、检查工作，为确保本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政府信息公开工作的顺利开展和长效机制的建立，奠定了组织基础。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《高青县2020年政务公开工作要点》高政办字〔2020〕32号</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rPr>
        <w:t>制定并印发了《</w:t>
      </w:r>
      <w:r>
        <w:rPr>
          <w:rFonts w:hint="eastAsia" w:ascii="仿宋_GB2312" w:hAnsi="仿宋_GB2312" w:eastAsia="仿宋_GB2312" w:cs="仿宋_GB2312"/>
          <w:sz w:val="32"/>
          <w:szCs w:val="32"/>
          <w:lang w:eastAsia="zh-CN"/>
        </w:rPr>
        <w:t>高青县行政审批服务局</w:t>
      </w:r>
      <w:r>
        <w:rPr>
          <w:rFonts w:hint="eastAsia" w:ascii="仿宋_GB2312" w:hAnsi="仿宋_GB2312" w:eastAsia="仿宋_GB2312" w:cs="仿宋_GB2312"/>
          <w:sz w:val="32"/>
          <w:szCs w:val="32"/>
        </w:rPr>
        <w:t>主动公开基本目录》。要求各科室按照“谁形成、谁公开、谁更新、谁负责”的原则细化责任，将政务公开工作落实到具体的责任人，同时将政务公开工作纳入日常考核,做到与业务工作同部署、同检查、同考核。</w:t>
      </w:r>
    </w:p>
    <w:p>
      <w:pPr>
        <w:pStyle w:val="2"/>
        <w:rPr>
          <w:rFonts w:hint="eastAsia" w:eastAsia="仿宋_GB2312"/>
          <w:lang w:eastAsia="zh-CN"/>
        </w:rPr>
      </w:pPr>
      <w:r>
        <w:rPr>
          <w:rFonts w:hint="eastAsia" w:eastAsia="仿宋_GB2312"/>
          <w:lang w:eastAsia="zh-CN"/>
        </w:rPr>
        <w:drawing>
          <wp:inline distT="0" distB="0" distL="114300" distR="114300">
            <wp:extent cx="4762500" cy="3810000"/>
            <wp:effectExtent l="0" t="0" r="0" b="0"/>
            <wp:docPr id="2" name="图片 2" descr="1611022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1022350(1)"/>
                    <pic:cNvPicPr>
                      <a:picLocks noChangeAspect="1"/>
                    </pic:cNvPicPr>
                  </pic:nvPicPr>
                  <pic:blipFill>
                    <a:blip r:embed="rId4"/>
                    <a:stretch>
                      <a:fillRect/>
                    </a:stretch>
                  </pic:blipFill>
                  <pic:spPr>
                    <a:xfrm>
                      <a:off x="0" y="0"/>
                      <a:ext cx="4762500" cy="3810000"/>
                    </a:xfrm>
                    <a:prstGeom prst="rect">
                      <a:avLst/>
                    </a:prstGeom>
                  </pic:spPr>
                </pic:pic>
              </a:graphicData>
            </a:graphic>
          </wp:inline>
        </w:drawing>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（二）主动公开</w:t>
      </w:r>
    </w:p>
    <w:p>
      <w:pPr>
        <w:numPr>
          <w:ilvl w:val="0"/>
          <w:numId w:val="0"/>
        </w:num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1.深入推进优化服务工作。按照</w:t>
      </w:r>
      <w:r>
        <w:rPr>
          <w:rFonts w:hint="default" w:ascii="仿宋_GB2312" w:hAnsi="仿宋_GB2312" w:eastAsia="仿宋_GB2312" w:cs="仿宋_GB2312"/>
          <w:kern w:val="2"/>
          <w:sz w:val="32"/>
          <w:szCs w:val="32"/>
          <w:lang w:val="en-US" w:eastAsia="zh-CN" w:bidi="ar-SA"/>
        </w:rPr>
        <w:t>《关于深化相对集中行政许可权改革规范县级行政审批服务工作的实施意见》（高政办字〔2020〕</w:t>
      </w:r>
      <w:r>
        <w:rPr>
          <w:rFonts w:hint="eastAsia" w:ascii="仿宋_GB2312" w:hAnsi="仿宋_GB2312" w:eastAsia="仿宋_GB2312" w:cs="仿宋_GB2312"/>
          <w:kern w:val="2"/>
          <w:sz w:val="32"/>
          <w:szCs w:val="32"/>
          <w:lang w:val="en-US" w:eastAsia="zh-CN" w:bidi="ar-SA"/>
        </w:rPr>
        <w:t>29</w:t>
      </w:r>
      <w:r>
        <w:rPr>
          <w:rFonts w:hint="default" w:ascii="仿宋_GB2312" w:hAnsi="仿宋_GB2312" w:eastAsia="仿宋_GB2312" w:cs="仿宋_GB2312"/>
          <w:kern w:val="2"/>
          <w:sz w:val="32"/>
          <w:szCs w:val="32"/>
          <w:lang w:val="en-US" w:eastAsia="zh-CN" w:bidi="ar-SA"/>
        </w:rPr>
        <w:t>号）</w:t>
      </w:r>
      <w:r>
        <w:rPr>
          <w:rFonts w:hint="eastAsia" w:ascii="仿宋_GB2312" w:hAnsi="仿宋_GB2312" w:eastAsia="仿宋_GB2312" w:cs="仿宋_GB2312"/>
          <w:kern w:val="2"/>
          <w:sz w:val="32"/>
          <w:szCs w:val="32"/>
          <w:lang w:val="en-US" w:eastAsia="zh-CN" w:bidi="ar-SA"/>
        </w:rPr>
        <w:t>，承接行政许可权划转事项184项，同涉及划转17个部门已全部签订《划转事项备忘录》。按照《高青县审批服务告知承诺制实施办法》，持续拓展容缺受理事项范围并纵向拓展至现场勘验，447项事项支持容缺受理，涉企审批事项实现100%容缺受理。对全县依申请政务服务事项进行分类梳理，形成</w:t>
      </w:r>
      <w:r>
        <w:rPr>
          <w:rFonts w:hint="eastAsia" w:ascii="仿宋_GB2312" w:hAnsi="仿宋_GB2312" w:eastAsia="仿宋_GB2312" w:cs="仿宋_GB2312"/>
          <w:kern w:val="2"/>
          <w:sz w:val="32"/>
          <w:szCs w:val="32"/>
          <w:lang w:val="zh-CN" w:eastAsia="zh-CN" w:bidi="ar-SA"/>
        </w:rPr>
        <w:t>“马</w:t>
      </w:r>
      <w:r>
        <w:rPr>
          <w:rFonts w:hint="eastAsia" w:ascii="仿宋_GB2312" w:hAnsi="仿宋_GB2312" w:eastAsia="仿宋_GB2312" w:cs="仿宋_GB2312"/>
          <w:kern w:val="2"/>
          <w:sz w:val="32"/>
          <w:szCs w:val="32"/>
          <w:lang w:val="en-US" w:eastAsia="zh-CN" w:bidi="ar-SA"/>
        </w:rPr>
        <w:t>上办、网上办、就近办、一次办、承诺办、预约办”</w:t>
      </w:r>
      <w:r>
        <w:rPr>
          <w:rFonts w:hint="eastAsia" w:ascii="仿宋_GB2312" w:hAnsi="仿宋_GB2312" w:eastAsia="仿宋_GB2312" w:cs="仿宋_GB2312"/>
          <w:kern w:val="2"/>
          <w:sz w:val="32"/>
          <w:szCs w:val="32"/>
          <w:lang w:val="zh-CN" w:eastAsia="zh-CN" w:bidi="ar-SA"/>
        </w:rPr>
        <w:t>“六</w:t>
      </w:r>
      <w:r>
        <w:rPr>
          <w:rFonts w:hint="eastAsia" w:ascii="仿宋_GB2312" w:hAnsi="仿宋_GB2312" w:eastAsia="仿宋_GB2312" w:cs="仿宋_GB2312"/>
          <w:kern w:val="2"/>
          <w:sz w:val="32"/>
          <w:szCs w:val="32"/>
          <w:lang w:val="en-US" w:eastAsia="zh-CN" w:bidi="ar-SA"/>
        </w:rPr>
        <w:t>办”事项清单。制定印发《高青县好差评制度实施方案》，政务服务事项纳入“好差评”系统1249项，覆盖率达100%。定期对办事群众进行回访和调查，及时了解掌握业务审批过程中出现的各类问题，进一步提高我局审批业务工作人员的行政审批水平，“山东省政务服务网”每季度汇总公开每月政务服务“好差评”情况。通过“高青人民政府网”“山东省政务服务网”等形式公开了事项划转清单、告知承诺服务事项清单、政务服务事项目录、依申请“六办”事项清单等。</w:t>
      </w:r>
    </w:p>
    <w:p>
      <w:pPr>
        <w:pStyle w:val="2"/>
        <w:rPr>
          <w:rFonts w:hint="eastAsia"/>
          <w:lang w:val="en-US" w:eastAsia="zh-CN"/>
        </w:rPr>
      </w:pPr>
      <w:r>
        <w:rPr>
          <w:rFonts w:hint="eastAsia"/>
          <w:lang w:val="en-US" w:eastAsia="zh-CN"/>
        </w:rPr>
        <w:drawing>
          <wp:inline distT="0" distB="0" distL="114300" distR="114300">
            <wp:extent cx="4762500" cy="7505700"/>
            <wp:effectExtent l="0" t="0" r="0" b="0"/>
            <wp:docPr id="5" name="图片 5" descr="优化服务-政务公开-高青县人民政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优化服务-政务公开-高青县人民政府"/>
                    <pic:cNvPicPr>
                      <a:picLocks noChangeAspect="1"/>
                    </pic:cNvPicPr>
                  </pic:nvPicPr>
                  <pic:blipFill>
                    <a:blip r:embed="rId5"/>
                    <a:stretch>
                      <a:fillRect/>
                    </a:stretch>
                  </pic:blipFill>
                  <pic:spPr>
                    <a:xfrm>
                      <a:off x="0" y="0"/>
                      <a:ext cx="4762500" cy="7505700"/>
                    </a:xfrm>
                    <a:prstGeom prst="rect">
                      <a:avLst/>
                    </a:prstGeom>
                  </pic:spPr>
                </pic:pic>
              </a:graphicData>
            </a:graphic>
          </wp:inline>
        </w:drawing>
      </w:r>
    </w:p>
    <w:p>
      <w:pPr>
        <w:numPr>
          <w:ilvl w:val="0"/>
          <w:numId w:val="1"/>
        </w:num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做好行政权力运行公开。一是事前公开行政权力清单。编制并在“高青人民政府网”公开了行政执法事项清单、行政执法服务指南、执法人员资格清单和行政执法流程图。二是事中公开执法信息。窗口公开工作人员个人照片姓名，实行办事流程、服务承诺、办事进度、举报投诉等公开制度。三是事后公开审批结果。自完成许可或者变更之日起7个工作日内公开办理结果。在全市率先设立政务服务“找茬窗口”，并根据去年履职情况，重新调整一批特邀监督员，接受公开监督。</w:t>
      </w:r>
    </w:p>
    <w:p>
      <w:pPr>
        <w:pStyle w:val="2"/>
        <w:numPr>
          <w:ilvl w:val="0"/>
          <w:numId w:val="0"/>
        </w:numPr>
        <w:jc w:val="center"/>
        <w:rPr>
          <w:rFonts w:hint="eastAsia"/>
          <w:lang w:val="en-US" w:eastAsia="zh-CN"/>
        </w:rPr>
      </w:pPr>
      <w:r>
        <w:rPr>
          <w:rFonts w:hint="eastAsia"/>
          <w:lang w:val="en-US" w:eastAsia="zh-CN"/>
        </w:rPr>
        <w:drawing>
          <wp:inline distT="0" distB="0" distL="114300" distR="114300">
            <wp:extent cx="4762500" cy="6619875"/>
            <wp:effectExtent l="0" t="0" r="0" b="9525"/>
            <wp:docPr id="12" name="图片 12" descr="未命名_meitu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未命名_meitu_11"/>
                    <pic:cNvPicPr>
                      <a:picLocks noChangeAspect="1"/>
                    </pic:cNvPicPr>
                  </pic:nvPicPr>
                  <pic:blipFill>
                    <a:blip r:embed="rId6"/>
                    <a:stretch>
                      <a:fillRect/>
                    </a:stretch>
                  </pic:blipFill>
                  <pic:spPr>
                    <a:xfrm>
                      <a:off x="0" y="0"/>
                      <a:ext cx="4762500" cy="6619875"/>
                    </a:xfrm>
                    <a:prstGeom prst="rect">
                      <a:avLst/>
                    </a:prstGeom>
                  </pic:spPr>
                </pic:pic>
              </a:graphicData>
            </a:graphic>
          </wp:inline>
        </w:drawing>
      </w:r>
    </w:p>
    <w:p>
      <w:pPr>
        <w:pStyle w:val="7"/>
        <w:keepNext w:val="0"/>
        <w:keepLines w:val="0"/>
        <w:widowControl/>
        <w:numPr>
          <w:ilvl w:val="0"/>
          <w:numId w:val="0"/>
        </w:numPr>
        <w:suppressLineNumbers w:val="0"/>
        <w:spacing w:before="75" w:beforeAutospacing="0" w:after="75" w:afterAutospacing="0"/>
        <w:ind w:right="0" w:rightChars="0" w:firstLine="640" w:firstLineChars="200"/>
        <w:rPr>
          <w:rFonts w:hint="default" w:ascii="仿宋_GB2312" w:eastAsia="仿宋_GB2312" w:cs="Times New Roman"/>
          <w:sz w:val="32"/>
          <w:szCs w:val="32"/>
          <w:u w:val="single" w:color="FFFFFF"/>
          <w:lang w:eastAsia="zh-CN"/>
        </w:rPr>
      </w:pPr>
      <w:r>
        <w:rPr>
          <w:rFonts w:hint="eastAsia" w:ascii="仿宋_GB2312" w:hAnsi="仿宋_GB2312" w:eastAsia="仿宋_GB2312" w:cs="仿宋_GB2312"/>
          <w:kern w:val="2"/>
          <w:sz w:val="32"/>
          <w:szCs w:val="32"/>
          <w:lang w:val="en-US" w:eastAsia="zh-CN" w:bidi="ar-SA"/>
        </w:rPr>
        <w:t>3.充分应用山东政务服务网在线咨询、热线电话问询、高青县行政审批服务局微信公众号等新闻媒体信息传播路径，传播政务服务信息。以图文并茂、生动活泼的方式发布公告、公开信息，</w:t>
      </w:r>
      <w:r>
        <w:rPr>
          <w:rFonts w:hint="eastAsia" w:ascii="仿宋_GB2312" w:eastAsia="仿宋_GB2312" w:cs="Times New Roman"/>
          <w:sz w:val="32"/>
          <w:szCs w:val="32"/>
          <w:u w:val="single" w:color="FFFFFF"/>
          <w:lang w:eastAsia="zh-CN"/>
        </w:rPr>
        <w:t>今年以来，在</w:t>
      </w:r>
      <w:r>
        <w:rPr>
          <w:rFonts w:hint="eastAsia" w:ascii="仿宋_GB2312" w:hAnsi="仿宋_GB2312" w:eastAsia="仿宋_GB2312" w:cs="仿宋_GB2312"/>
          <w:kern w:val="2"/>
          <w:sz w:val="32"/>
          <w:szCs w:val="32"/>
          <w:lang w:val="en-US" w:eastAsia="zh-CN" w:bidi="ar-SA"/>
        </w:rPr>
        <w:t>高青县行政审批服务局微信公众号</w:t>
      </w:r>
      <w:r>
        <w:rPr>
          <w:rFonts w:hint="default" w:ascii="仿宋_GB2312" w:eastAsia="仿宋_GB2312" w:cs="Times New Roman"/>
          <w:sz w:val="32"/>
          <w:szCs w:val="32"/>
          <w:u w:val="single" w:color="FFFFFF"/>
          <w:lang w:eastAsia="zh-CN"/>
        </w:rPr>
        <w:t>发布</w:t>
      </w:r>
      <w:r>
        <w:rPr>
          <w:rFonts w:hint="eastAsia" w:ascii="仿宋_GB2312" w:eastAsia="仿宋_GB2312" w:cs="Times New Roman"/>
          <w:sz w:val="32"/>
          <w:szCs w:val="32"/>
          <w:u w:val="single" w:color="FFFFFF"/>
          <w:lang w:eastAsia="zh-CN"/>
        </w:rPr>
        <w:t>公告和</w:t>
      </w:r>
      <w:r>
        <w:rPr>
          <w:rFonts w:hint="default" w:ascii="仿宋_GB2312" w:eastAsia="仿宋_GB2312" w:cs="Times New Roman"/>
          <w:sz w:val="32"/>
          <w:szCs w:val="32"/>
          <w:u w:val="single" w:color="FFFFFF"/>
          <w:lang w:eastAsia="zh-CN"/>
        </w:rPr>
        <w:t>信息</w:t>
      </w:r>
      <w:r>
        <w:rPr>
          <w:rFonts w:hint="eastAsia" w:ascii="仿宋_GB2312" w:eastAsia="仿宋_GB2312" w:cs="Times New Roman"/>
          <w:color w:val="auto"/>
          <w:sz w:val="32"/>
          <w:szCs w:val="32"/>
          <w:u w:val="single" w:color="FFFFFF"/>
          <w:lang w:val="en-US" w:eastAsia="zh-CN"/>
        </w:rPr>
        <w:t>246</w:t>
      </w:r>
      <w:r>
        <w:rPr>
          <w:rFonts w:hint="default" w:ascii="仿宋_GB2312" w:eastAsia="仿宋_GB2312" w:cs="Times New Roman"/>
          <w:sz w:val="32"/>
          <w:szCs w:val="32"/>
          <w:u w:val="single" w:color="FFFFFF"/>
          <w:lang w:eastAsia="zh-CN"/>
        </w:rPr>
        <w:t>篇</w:t>
      </w:r>
      <w:r>
        <w:rPr>
          <w:rFonts w:hint="eastAsia" w:ascii="仿宋_GB2312" w:eastAsia="仿宋_GB2312" w:cs="Times New Roman"/>
          <w:sz w:val="32"/>
          <w:szCs w:val="32"/>
          <w:u w:val="single" w:color="FFFFFF"/>
          <w:lang w:eastAsia="zh-CN"/>
        </w:rPr>
        <w:t>，在山东政务服务网高青站点</w:t>
      </w:r>
      <w:r>
        <w:rPr>
          <w:rFonts w:hint="default" w:ascii="仿宋_GB2312" w:eastAsia="仿宋_GB2312" w:cs="Times New Roman"/>
          <w:sz w:val="32"/>
          <w:szCs w:val="32"/>
          <w:u w:val="single" w:color="FFFFFF"/>
          <w:lang w:eastAsia="zh-CN"/>
        </w:rPr>
        <w:t>发布</w:t>
      </w:r>
      <w:r>
        <w:rPr>
          <w:rFonts w:hint="eastAsia" w:ascii="仿宋_GB2312" w:eastAsia="仿宋_GB2312" w:cs="Times New Roman"/>
          <w:sz w:val="32"/>
          <w:szCs w:val="32"/>
          <w:u w:val="single" w:color="FFFFFF"/>
          <w:lang w:eastAsia="zh-CN"/>
        </w:rPr>
        <w:t>公告和</w:t>
      </w:r>
      <w:r>
        <w:rPr>
          <w:rFonts w:hint="default" w:ascii="仿宋_GB2312" w:eastAsia="仿宋_GB2312" w:cs="Times New Roman"/>
          <w:sz w:val="32"/>
          <w:szCs w:val="32"/>
          <w:u w:val="single" w:color="FFFFFF"/>
          <w:lang w:eastAsia="zh-CN"/>
        </w:rPr>
        <w:t>信息</w:t>
      </w:r>
      <w:r>
        <w:rPr>
          <w:rFonts w:hint="eastAsia" w:ascii="仿宋_GB2312" w:eastAsia="仿宋_GB2312" w:cs="Times New Roman"/>
          <w:color w:val="auto"/>
          <w:sz w:val="32"/>
          <w:szCs w:val="32"/>
          <w:u w:val="single" w:color="FFFFFF"/>
          <w:lang w:val="en-US" w:eastAsia="zh-CN"/>
        </w:rPr>
        <w:t>20</w:t>
      </w:r>
      <w:r>
        <w:rPr>
          <w:rFonts w:hint="default" w:ascii="仿宋_GB2312" w:eastAsia="仿宋_GB2312" w:cs="Times New Roman"/>
          <w:sz w:val="32"/>
          <w:szCs w:val="32"/>
          <w:u w:val="single" w:color="FFFFFF"/>
          <w:lang w:eastAsia="zh-CN"/>
        </w:rPr>
        <w:t>篇。</w:t>
      </w:r>
    </w:p>
    <w:p>
      <w:pPr>
        <w:pStyle w:val="7"/>
        <w:keepNext w:val="0"/>
        <w:keepLines w:val="0"/>
        <w:widowControl/>
        <w:numPr>
          <w:ilvl w:val="0"/>
          <w:numId w:val="0"/>
        </w:numPr>
        <w:suppressLineNumbers w:val="0"/>
        <w:spacing w:before="75" w:beforeAutospacing="0" w:after="75" w:afterAutospacing="0"/>
        <w:ind w:leftChars="200" w:right="0" w:rightChars="0"/>
        <w:rPr>
          <w:rFonts w:hint="default" w:ascii="仿宋_GB2312" w:eastAsia="仿宋_GB2312" w:cs="Times New Roman"/>
          <w:sz w:val="32"/>
          <w:szCs w:val="32"/>
          <w:u w:val="single" w:color="FFFFFF"/>
          <w:lang w:eastAsia="zh-CN"/>
        </w:rPr>
      </w:pPr>
      <w:r>
        <w:rPr>
          <w:rFonts w:hint="default" w:ascii="仿宋_GB2312" w:eastAsia="仿宋_GB2312" w:cs="Times New Roman"/>
          <w:sz w:val="32"/>
          <w:szCs w:val="32"/>
          <w:u w:val="single" w:color="FFFFFF"/>
          <w:lang w:eastAsia="zh-CN"/>
        </w:rPr>
        <w:drawing>
          <wp:inline distT="0" distB="0" distL="114300" distR="114300">
            <wp:extent cx="4762500" cy="2752725"/>
            <wp:effectExtent l="0" t="0" r="0" b="9525"/>
            <wp:docPr id="13" name="图片 13" descr="未命名_m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未命名_meitu"/>
                    <pic:cNvPicPr>
                      <a:picLocks noChangeAspect="1"/>
                    </pic:cNvPicPr>
                  </pic:nvPicPr>
                  <pic:blipFill>
                    <a:blip r:embed="rId7"/>
                    <a:stretch>
                      <a:fillRect/>
                    </a:stretch>
                  </pic:blipFill>
                  <pic:spPr>
                    <a:xfrm>
                      <a:off x="0" y="0"/>
                      <a:ext cx="4762500" cy="2752725"/>
                    </a:xfrm>
                    <a:prstGeom prst="rect">
                      <a:avLst/>
                    </a:prstGeom>
                  </pic:spPr>
                </pic:pic>
              </a:graphicData>
            </a:graphic>
          </wp:inline>
        </w:drawing>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eastAsia="仿宋_GB2312" w:cs="Times New Roman"/>
          <w:sz w:val="32"/>
          <w:szCs w:val="32"/>
          <w:u w:val="single" w:color="FFFFFF"/>
          <w:lang w:val="en-US" w:eastAsia="zh-CN"/>
        </w:rPr>
        <w:t>4.</w:t>
      </w:r>
      <w:r>
        <w:rPr>
          <w:rFonts w:hint="eastAsia" w:ascii="仿宋_GB2312" w:eastAsia="仿宋_GB2312" w:cs="Times New Roman"/>
          <w:color w:val="000000" w:themeColor="text1"/>
          <w:sz w:val="32"/>
          <w:szCs w:val="32"/>
          <w:u w:val="single" w:color="FFFFFF"/>
          <w:lang w:val="en-US" w:eastAsia="zh-CN"/>
          <w14:textFill>
            <w14:solidFill>
              <w14:schemeClr w14:val="tx1"/>
            </w14:solidFill>
          </w14:textFill>
        </w:rPr>
        <w:t>2020年</w:t>
      </w:r>
      <w:r>
        <w:rPr>
          <w:rFonts w:hint="default" w:ascii="仿宋_GB2312" w:eastAsia="仿宋_GB2312" w:cs="Times New Roman"/>
          <w:color w:val="000000" w:themeColor="text1"/>
          <w:sz w:val="32"/>
          <w:szCs w:val="32"/>
          <w:u w:val="single" w:color="FFFFFF"/>
          <w:lang w:eastAsia="zh-CN"/>
          <w14:textFill>
            <w14:solidFill>
              <w14:schemeClr w14:val="tx1"/>
            </w14:solidFill>
          </w14:textFill>
        </w:rPr>
        <w:t>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收到0件代表建议，答复0件；收到1件政协委员提案，答复1件，满意率100%，办理情况均通过高青县政府网站进行公开。</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（三）依申请公开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1.收到和处理政府信息公开申请情况</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kern w:val="2"/>
          <w:sz w:val="32"/>
          <w:szCs w:val="32"/>
          <w:lang w:val="en-US" w:eastAsia="zh-CN" w:bidi="ar-SA"/>
        </w:rPr>
        <w:t>2020年，我单位共收到政府信息公开申请3件，按时办结数3件。在办结的申请中：予以公开0件，部分公开0件，不予公开0件，无法提供3 件，不予处理0 件，其他处理0件。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2.收费和减免情况</w:t>
      </w:r>
    </w:p>
    <w:p>
      <w:pPr>
        <w:spacing w:line="560" w:lineRule="exact"/>
        <w:ind w:firstLine="640" w:firstLineChars="200"/>
        <w:rPr>
          <w:rFonts w:hint="default" w:ascii="仿宋_GB2312" w:hAnsi="Calibri" w:eastAsia="仿宋_GB2312" w:cs="Times New Roman"/>
          <w:kern w:val="2"/>
          <w:sz w:val="32"/>
          <w:szCs w:val="32"/>
          <w:u w:val="single" w:color="FFFFFF"/>
          <w:lang w:val="en-US" w:eastAsia="zh-CN" w:bidi="ar-SA"/>
        </w:rPr>
      </w:pPr>
      <w:r>
        <w:rPr>
          <w:rFonts w:hint="default" w:ascii="仿宋_GB2312" w:hAnsi="Calibri" w:eastAsia="仿宋_GB2312" w:cs="Times New Roman"/>
          <w:kern w:val="2"/>
          <w:sz w:val="32"/>
          <w:szCs w:val="32"/>
          <w:u w:val="single" w:color="FFFFFF"/>
          <w:lang w:val="en-US" w:eastAsia="zh-CN" w:bidi="ar-SA"/>
        </w:rPr>
        <w:t>2020年，我单位在政府信息公开申请办理过程中，未收取任何费用。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3.政府信息公开行政复议、行政诉讼情况</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u w:val="single" w:color="FFFFFF"/>
          <w:lang w:val="en-US" w:eastAsia="zh-CN" w:bidi="ar-SA"/>
        </w:rPr>
      </w:pPr>
      <w:r>
        <w:rPr>
          <w:rFonts w:hint="default" w:ascii="仿宋_GB2312" w:hAnsi="Calibri" w:eastAsia="仿宋_GB2312" w:cs="Times New Roman"/>
          <w:kern w:val="2"/>
          <w:sz w:val="32"/>
          <w:szCs w:val="32"/>
          <w:u w:val="single" w:color="FFFFFF"/>
          <w:lang w:val="en-US" w:eastAsia="zh-CN" w:bidi="ar-SA"/>
        </w:rPr>
        <w:t>2020年，本单位因政府信息公开被申请行政复议</w:t>
      </w:r>
      <w:r>
        <w:rPr>
          <w:rFonts w:hint="eastAsia" w:ascii="仿宋_GB2312" w:hAnsi="Calibri" w:eastAsia="仿宋_GB2312" w:cs="Times New Roman"/>
          <w:kern w:val="2"/>
          <w:sz w:val="32"/>
          <w:szCs w:val="32"/>
          <w:u w:val="single" w:color="FFFFFF"/>
          <w:lang w:val="en-US" w:eastAsia="zh-CN" w:bidi="ar-SA"/>
        </w:rPr>
        <w:t>0</w:t>
      </w:r>
      <w:r>
        <w:rPr>
          <w:rFonts w:hint="default" w:ascii="仿宋_GB2312" w:hAnsi="Calibri" w:eastAsia="仿宋_GB2312" w:cs="Times New Roman"/>
          <w:kern w:val="2"/>
          <w:sz w:val="32"/>
          <w:szCs w:val="32"/>
          <w:u w:val="single" w:color="FFFFFF"/>
          <w:lang w:val="en-US" w:eastAsia="zh-CN" w:bidi="ar-SA"/>
        </w:rPr>
        <w:t>件。其中，未经复议直接起诉</w:t>
      </w:r>
      <w:r>
        <w:rPr>
          <w:rFonts w:hint="eastAsia" w:ascii="仿宋_GB2312" w:hAnsi="Calibri" w:eastAsia="仿宋_GB2312" w:cs="Times New Roman"/>
          <w:kern w:val="2"/>
          <w:sz w:val="32"/>
          <w:szCs w:val="32"/>
          <w:u w:val="single" w:color="FFFFFF"/>
          <w:lang w:val="en-US" w:eastAsia="zh-CN" w:bidi="ar-SA"/>
        </w:rPr>
        <w:t>0</w:t>
      </w:r>
      <w:r>
        <w:rPr>
          <w:rFonts w:hint="default" w:ascii="仿宋_GB2312" w:hAnsi="Calibri" w:eastAsia="仿宋_GB2312" w:cs="Times New Roman"/>
          <w:kern w:val="2"/>
          <w:sz w:val="32"/>
          <w:szCs w:val="32"/>
          <w:u w:val="single" w:color="FFFFFF"/>
          <w:lang w:val="en-US" w:eastAsia="zh-CN" w:bidi="ar-SA"/>
        </w:rPr>
        <w:t>件，复议后起诉</w:t>
      </w:r>
      <w:r>
        <w:rPr>
          <w:rFonts w:hint="eastAsia" w:ascii="仿宋_GB2312" w:hAnsi="Calibri" w:eastAsia="仿宋_GB2312" w:cs="Times New Roman"/>
          <w:kern w:val="2"/>
          <w:sz w:val="32"/>
          <w:szCs w:val="32"/>
          <w:u w:val="single" w:color="FFFFFF"/>
          <w:lang w:val="en-US" w:eastAsia="zh-CN" w:bidi="ar-SA"/>
        </w:rPr>
        <w:t>0</w:t>
      </w:r>
      <w:r>
        <w:rPr>
          <w:rFonts w:hint="default" w:ascii="仿宋_GB2312" w:hAnsi="Calibri" w:eastAsia="仿宋_GB2312" w:cs="Times New Roman"/>
          <w:kern w:val="2"/>
          <w:sz w:val="32"/>
          <w:szCs w:val="32"/>
          <w:u w:val="single" w:color="FFFFFF"/>
          <w:lang w:val="en-US" w:eastAsia="zh-CN" w:bidi="ar-SA"/>
        </w:rPr>
        <w:t>件。在行政诉讼案件中，结果维持数</w:t>
      </w:r>
      <w:r>
        <w:rPr>
          <w:rFonts w:hint="eastAsia" w:ascii="仿宋_GB2312" w:hAnsi="Calibri" w:eastAsia="仿宋_GB2312" w:cs="Times New Roman"/>
          <w:kern w:val="2"/>
          <w:sz w:val="32"/>
          <w:szCs w:val="32"/>
          <w:u w:val="single" w:color="FFFFFF"/>
          <w:lang w:val="en-US" w:eastAsia="zh-CN" w:bidi="ar-SA"/>
        </w:rPr>
        <w:t>0</w:t>
      </w:r>
      <w:r>
        <w:rPr>
          <w:rFonts w:hint="default" w:ascii="仿宋_GB2312" w:hAnsi="Calibri" w:eastAsia="仿宋_GB2312" w:cs="Times New Roman"/>
          <w:kern w:val="2"/>
          <w:sz w:val="32"/>
          <w:szCs w:val="32"/>
          <w:u w:val="single" w:color="FFFFFF"/>
          <w:lang w:val="en-US" w:eastAsia="zh-CN" w:bidi="ar-SA"/>
        </w:rPr>
        <w:t>件，结果纠正数</w:t>
      </w:r>
      <w:r>
        <w:rPr>
          <w:rFonts w:hint="eastAsia" w:ascii="仿宋_GB2312" w:hAnsi="Calibri" w:eastAsia="仿宋_GB2312" w:cs="Times New Roman"/>
          <w:kern w:val="2"/>
          <w:sz w:val="32"/>
          <w:szCs w:val="32"/>
          <w:u w:val="single" w:color="FFFFFF"/>
          <w:lang w:val="en-US" w:eastAsia="zh-CN" w:bidi="ar-SA"/>
        </w:rPr>
        <w:t>0</w:t>
      </w:r>
      <w:r>
        <w:rPr>
          <w:rFonts w:hint="default" w:ascii="仿宋_GB2312" w:hAnsi="Calibri" w:eastAsia="仿宋_GB2312" w:cs="Times New Roman"/>
          <w:kern w:val="2"/>
          <w:sz w:val="32"/>
          <w:szCs w:val="32"/>
          <w:u w:val="single" w:color="FFFFFF"/>
          <w:lang w:val="en-US" w:eastAsia="zh-CN" w:bidi="ar-SA"/>
        </w:rPr>
        <w:t>件，尚未审结数</w:t>
      </w:r>
      <w:r>
        <w:rPr>
          <w:rFonts w:hint="eastAsia" w:ascii="仿宋_GB2312" w:hAnsi="Calibri" w:eastAsia="仿宋_GB2312" w:cs="Times New Roman"/>
          <w:kern w:val="2"/>
          <w:sz w:val="32"/>
          <w:szCs w:val="32"/>
          <w:u w:val="single" w:color="FFFFFF"/>
          <w:lang w:val="en-US" w:eastAsia="zh-CN" w:bidi="ar-SA"/>
        </w:rPr>
        <w:t>0</w:t>
      </w:r>
      <w:r>
        <w:rPr>
          <w:rFonts w:hint="default" w:ascii="仿宋_GB2312" w:hAnsi="Calibri" w:eastAsia="仿宋_GB2312" w:cs="Times New Roman"/>
          <w:kern w:val="2"/>
          <w:sz w:val="32"/>
          <w:szCs w:val="32"/>
          <w:u w:val="single" w:color="FFFFFF"/>
          <w:lang w:val="en-US" w:eastAsia="zh-CN" w:bidi="ar-SA"/>
        </w:rPr>
        <w:t>件，其他结果数</w:t>
      </w:r>
      <w:r>
        <w:rPr>
          <w:rFonts w:hint="eastAsia" w:ascii="仿宋_GB2312" w:hAnsi="Calibri" w:eastAsia="仿宋_GB2312" w:cs="Times New Roman"/>
          <w:kern w:val="2"/>
          <w:sz w:val="32"/>
          <w:szCs w:val="32"/>
          <w:u w:val="single" w:color="FFFFFF"/>
          <w:lang w:val="en-US" w:eastAsia="zh-CN" w:bidi="ar-SA"/>
        </w:rPr>
        <w:t>0</w:t>
      </w:r>
      <w:r>
        <w:rPr>
          <w:rFonts w:hint="default" w:ascii="仿宋_GB2312" w:hAnsi="Calibri" w:eastAsia="仿宋_GB2312" w:cs="Times New Roman"/>
          <w:kern w:val="2"/>
          <w:sz w:val="32"/>
          <w:szCs w:val="32"/>
          <w:u w:val="single" w:color="FFFFFF"/>
          <w:lang w:val="en-US" w:eastAsia="zh-CN" w:bidi="ar-SA"/>
        </w:rPr>
        <w:t>件。 </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（四）政府信息管理</w:t>
      </w:r>
    </w:p>
    <w:p>
      <w:pPr>
        <w:spacing w:line="560" w:lineRule="exact"/>
        <w:ind w:firstLine="640" w:firstLineChars="200"/>
        <w:rPr>
          <w:rFonts w:ascii="楷体_GB2312" w:hAnsi="黑体" w:eastAsia="楷体_GB2312"/>
          <w:sz w:val="32"/>
          <w:szCs w:val="32"/>
        </w:rPr>
      </w:pPr>
      <w:r>
        <w:rPr>
          <w:rFonts w:hint="eastAsia" w:ascii="仿宋_GB2312" w:eastAsia="仿宋_GB2312"/>
          <w:sz w:val="32"/>
          <w:szCs w:val="32"/>
          <w:lang w:eastAsia="zh-CN"/>
        </w:rPr>
        <w:t>依托高青县人民政府网站，对规范性文件、权责清单等</w:t>
      </w:r>
      <w:r>
        <w:rPr>
          <w:rFonts w:hint="eastAsia" w:ascii="仿宋_GB2312" w:hAnsi="仿宋_GB2312" w:eastAsia="仿宋_GB2312" w:cs="仿宋_GB2312"/>
          <w:sz w:val="32"/>
          <w:szCs w:val="32"/>
        </w:rPr>
        <w:t>进行保存、管理和发布，加强对信息公开属性的审查，根据立、改、废等情况动态调整更新。</w:t>
      </w:r>
      <w:r>
        <w:rPr>
          <w:rFonts w:hint="eastAsia" w:ascii="仿宋_GB2312" w:hAnsi="仿宋_GB2312" w:eastAsia="仿宋_GB2312" w:cs="仿宋_GB2312"/>
          <w:sz w:val="32"/>
          <w:szCs w:val="32"/>
          <w:lang w:eastAsia="zh-CN"/>
        </w:rPr>
        <w:t>依托山东政务服务网，对行政许可、行政确认、其他权力等依申请事项进行动态调整管理，及时将办理结果进行公开公示。</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（五）平台建设</w:t>
      </w:r>
    </w:p>
    <w:p>
      <w:pPr>
        <w:pStyle w:val="7"/>
        <w:keepNext w:val="0"/>
        <w:keepLines w:val="0"/>
        <w:widowControl/>
        <w:suppressLineNumbers w:val="0"/>
        <w:spacing w:before="75" w:beforeAutospacing="0" w:after="75" w:afterAutospacing="0"/>
        <w:ind w:left="0" w:right="0"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按照新平台建设要求，梳理迁移数据，积极参加全市新平台培训会议并及时组织内部信息公开培训。</w:t>
      </w:r>
    </w:p>
    <w:p>
      <w:pPr>
        <w:pStyle w:val="7"/>
        <w:keepNext w:val="0"/>
        <w:keepLines w:val="0"/>
        <w:widowControl/>
        <w:suppressLineNumbers w:val="0"/>
        <w:spacing w:before="75" w:beforeAutospacing="0" w:after="75" w:afterAutospacing="0"/>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将政务公开标准化规范化建设与“互联网+政务服务”有机融合，在政务服务大厅打造了集信息公开、自助办理、帮办代办、查阅获取于一体的政务公开体验区。 </w:t>
      </w:r>
      <w:r>
        <w:rPr>
          <w:rFonts w:hint="default" w:ascii="仿宋_GB2312" w:hAnsi="仿宋_GB2312" w:eastAsia="仿宋_GB2312" w:cs="仿宋_GB2312"/>
          <w:kern w:val="2"/>
          <w:sz w:val="32"/>
          <w:szCs w:val="32"/>
          <w:lang w:val="en-US" w:eastAsia="zh-CN" w:bidi="ar-SA"/>
        </w:rPr>
        <w:t>一是群众可以通过山东政务服务网获取审批服务事项的办理依据、办理时限、所需要件等相关信息，并填报材料。二是群众通过高青县政府门户网站查阅有关政府信息。</w:t>
      </w:r>
      <w:r>
        <w:rPr>
          <w:rFonts w:hint="eastAsia" w:ascii="仿宋_GB2312" w:hAnsi="仿宋_GB2312" w:eastAsia="仿宋_GB2312" w:cs="仿宋_GB2312"/>
          <w:kern w:val="2"/>
          <w:sz w:val="32"/>
          <w:szCs w:val="32"/>
          <w:lang w:val="en-US" w:eastAsia="zh-CN" w:bidi="ar-SA"/>
        </w:rPr>
        <w:t>并</w:t>
      </w:r>
      <w:r>
        <w:rPr>
          <w:rFonts w:hint="default" w:ascii="仿宋_GB2312" w:hAnsi="仿宋_GB2312" w:eastAsia="仿宋_GB2312" w:cs="仿宋_GB2312"/>
          <w:kern w:val="2"/>
          <w:sz w:val="32"/>
          <w:szCs w:val="32"/>
          <w:lang w:val="en-US" w:eastAsia="zh-CN" w:bidi="ar-SA"/>
        </w:rPr>
        <w:t>设置线下查阅区，摆放了群众关注度较高的政府公报、不动产、公积金服务等各类办事服务指南等</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三是在体验区，有专门的工作人员提供帮办代办服务，及时解决群众问题。</w:t>
      </w:r>
      <w:r>
        <w:rPr>
          <w:rFonts w:hint="eastAsia" w:ascii="仿宋_GB2312" w:hAnsi="仿宋_GB2312" w:eastAsia="仿宋_GB2312" w:cs="仿宋_GB2312"/>
          <w:kern w:val="2"/>
          <w:sz w:val="32"/>
          <w:szCs w:val="32"/>
          <w:lang w:val="en-US" w:eastAsia="zh-CN" w:bidi="ar-SA"/>
        </w:rPr>
        <w:t>开展“政府开放日”活动4次，分别为县行政审批服务局为学生设“体验岗位”、“军人依法优先”走进政务服务中心、2020年上半年度第三派驻组派驻工作现场会、“一号改革工程”专项民主监督组走进县行政审批服务局。</w:t>
      </w:r>
    </w:p>
    <w:p>
      <w:pPr>
        <w:pStyle w:val="2"/>
        <w:rPr>
          <w:rFonts w:hint="eastAsia" w:eastAsiaTheme="minorEastAsia"/>
          <w:lang w:eastAsia="zh-CN"/>
        </w:rPr>
      </w:pPr>
      <w:r>
        <w:rPr>
          <w:rFonts w:hint="eastAsia" w:eastAsiaTheme="minorEastAsia"/>
          <w:lang w:eastAsia="zh-CN"/>
        </w:rPr>
        <w:drawing>
          <wp:inline distT="0" distB="0" distL="114300" distR="114300">
            <wp:extent cx="4762500" cy="6619875"/>
            <wp:effectExtent l="0" t="0" r="0" b="9525"/>
            <wp:docPr id="10" name="图片 10" descr="未命名_meitu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未命名_meitu_1"/>
                    <pic:cNvPicPr>
                      <a:picLocks noChangeAspect="1"/>
                    </pic:cNvPicPr>
                  </pic:nvPicPr>
                  <pic:blipFill>
                    <a:blip r:embed="rId8"/>
                    <a:stretch>
                      <a:fillRect/>
                    </a:stretch>
                  </pic:blipFill>
                  <pic:spPr>
                    <a:xfrm>
                      <a:off x="0" y="0"/>
                      <a:ext cx="4762500" cy="6619875"/>
                    </a:xfrm>
                    <a:prstGeom prst="rect">
                      <a:avLst/>
                    </a:prstGeom>
                  </pic:spPr>
                </pic:pic>
              </a:graphicData>
            </a:graphic>
          </wp:inline>
        </w:drawing>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（六）监督保障</w:t>
      </w:r>
    </w:p>
    <w:p>
      <w:pPr>
        <w:spacing w:line="56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实行信息上网公开备案制，对公开信息的规范性进行严格审查，防止该公开的不公开,不该公开的乱公开，为做好政务信息公开工作提供了制度保证。对上网的信息进行登记，经科长、分管领导和主要领导审核签字后再发布，切实做到规范、有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8"/>
        <w:tblW w:w="9077" w:type="dxa"/>
        <w:jc w:val="center"/>
        <w:tblLayout w:type="fixed"/>
        <w:tblCellMar>
          <w:top w:w="0" w:type="dxa"/>
          <w:left w:w="108" w:type="dxa"/>
          <w:bottom w:w="0" w:type="dxa"/>
          <w:right w:w="108" w:type="dxa"/>
        </w:tblCellMar>
      </w:tblPr>
      <w:tblGrid>
        <w:gridCol w:w="2862"/>
        <w:gridCol w:w="2130"/>
        <w:gridCol w:w="1915"/>
        <w:gridCol w:w="2170"/>
      </w:tblGrid>
      <w:tr>
        <w:tblPrEx>
          <w:tblCellMar>
            <w:top w:w="0" w:type="dxa"/>
            <w:left w:w="108" w:type="dxa"/>
            <w:bottom w:w="0" w:type="dxa"/>
            <w:right w:w="108" w:type="dxa"/>
          </w:tblCellMar>
        </w:tblPrEx>
        <w:trPr>
          <w:trHeight w:val="495" w:hRule="atLeast"/>
          <w:jc w:val="center"/>
        </w:trPr>
        <w:tc>
          <w:tcPr>
            <w:tcW w:w="90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86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213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217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86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213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1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Calibri" w:eastAsia="宋体" w:cs="Times New Roman"/>
                <w:color w:val="000000"/>
                <w:kern w:val="0"/>
                <w:sz w:val="24"/>
                <w:szCs w:val="24"/>
                <w:lang w:val="en-US" w:eastAsia="zh-CN"/>
              </w:rPr>
              <w:t>0</w:t>
            </w:r>
          </w:p>
        </w:tc>
        <w:tc>
          <w:tcPr>
            <w:tcW w:w="217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86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213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15" w:type="dxa"/>
            <w:tcBorders>
              <w:top w:val="nil"/>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Calibri" w:eastAsia="宋体" w:cs="Times New Roman"/>
                <w:color w:val="000000"/>
                <w:kern w:val="0"/>
                <w:sz w:val="24"/>
                <w:szCs w:val="24"/>
                <w:lang w:val="en-US" w:eastAsia="zh-CN"/>
              </w:rPr>
              <w:t>0</w:t>
            </w:r>
          </w:p>
        </w:tc>
        <w:tc>
          <w:tcPr>
            <w:tcW w:w="21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80" w:hRule="atLeast"/>
          <w:jc w:val="center"/>
        </w:trPr>
        <w:tc>
          <w:tcPr>
            <w:tcW w:w="90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86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213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1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217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86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2130" w:type="dxa"/>
            <w:tcBorders>
              <w:top w:val="nil"/>
              <w:left w:val="nil"/>
              <w:bottom w:val="single" w:color="auto" w:sz="4" w:space="0"/>
              <w:right w:val="single" w:color="auto" w:sz="4" w:space="0"/>
            </w:tcBorders>
            <w:noWrap/>
            <w:vAlign w:val="center"/>
          </w:tcPr>
          <w:p>
            <w:pPr>
              <w:widowControl/>
              <w:spacing w:line="360" w:lineRule="auto"/>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85</w:t>
            </w:r>
          </w:p>
        </w:tc>
        <w:tc>
          <w:tcPr>
            <w:tcW w:w="191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0</w:t>
            </w:r>
          </w:p>
        </w:tc>
        <w:tc>
          <w:tcPr>
            <w:tcW w:w="2170" w:type="dxa"/>
            <w:tcBorders>
              <w:top w:val="nil"/>
              <w:left w:val="nil"/>
              <w:bottom w:val="single" w:color="auto" w:sz="4" w:space="0"/>
              <w:right w:val="single" w:color="auto" w:sz="4" w:space="0"/>
            </w:tcBorders>
            <w:noWrap/>
            <w:vAlign w:val="center"/>
          </w:tcPr>
          <w:p>
            <w:pPr>
              <w:widowControl/>
              <w:spacing w:line="360" w:lineRule="auto"/>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14873</w:t>
            </w:r>
          </w:p>
        </w:tc>
      </w:tr>
      <w:tr>
        <w:tblPrEx>
          <w:tblCellMar>
            <w:top w:w="0" w:type="dxa"/>
            <w:left w:w="108" w:type="dxa"/>
            <w:bottom w:w="0" w:type="dxa"/>
            <w:right w:w="108" w:type="dxa"/>
          </w:tblCellMar>
        </w:tblPrEx>
        <w:trPr>
          <w:trHeight w:val="694" w:hRule="atLeast"/>
          <w:jc w:val="center"/>
        </w:trPr>
        <w:tc>
          <w:tcPr>
            <w:tcW w:w="286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2130" w:type="dxa"/>
            <w:tcBorders>
              <w:top w:val="nil"/>
              <w:left w:val="nil"/>
              <w:bottom w:val="single" w:color="auto" w:sz="4" w:space="0"/>
              <w:right w:val="single" w:color="auto" w:sz="4" w:space="0"/>
            </w:tcBorders>
            <w:noWrap/>
            <w:vAlign w:val="center"/>
          </w:tcPr>
          <w:p>
            <w:pPr>
              <w:widowControl/>
              <w:spacing w:line="360" w:lineRule="auto"/>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12</w:t>
            </w:r>
          </w:p>
        </w:tc>
        <w:tc>
          <w:tcPr>
            <w:tcW w:w="191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lang w:val="en-US" w:eastAsia="zh-CN"/>
              </w:rPr>
              <w:t>0</w:t>
            </w:r>
          </w:p>
        </w:tc>
        <w:tc>
          <w:tcPr>
            <w:tcW w:w="2170" w:type="dxa"/>
            <w:tcBorders>
              <w:top w:val="nil"/>
              <w:left w:val="nil"/>
              <w:bottom w:val="single" w:color="auto" w:sz="4" w:space="0"/>
              <w:right w:val="single" w:color="auto" w:sz="4" w:space="0"/>
            </w:tcBorders>
            <w:noWrap/>
            <w:vAlign w:val="center"/>
          </w:tcPr>
          <w:p>
            <w:pPr>
              <w:widowControl/>
              <w:spacing w:line="360" w:lineRule="auto"/>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486</w:t>
            </w:r>
          </w:p>
        </w:tc>
      </w:tr>
      <w:tr>
        <w:tblPrEx>
          <w:tblCellMar>
            <w:top w:w="0" w:type="dxa"/>
            <w:left w:w="108" w:type="dxa"/>
            <w:bottom w:w="0" w:type="dxa"/>
            <w:right w:w="108" w:type="dxa"/>
          </w:tblCellMar>
        </w:tblPrEx>
        <w:trPr>
          <w:trHeight w:val="406" w:hRule="atLeast"/>
          <w:jc w:val="center"/>
        </w:trPr>
        <w:tc>
          <w:tcPr>
            <w:tcW w:w="90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86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213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1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217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86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213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15"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21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86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213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1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217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474" w:hRule="atLeast"/>
          <w:jc w:val="center"/>
        </w:trPr>
        <w:tc>
          <w:tcPr>
            <w:tcW w:w="90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86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213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4085"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86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213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1</w:t>
            </w:r>
          </w:p>
        </w:tc>
        <w:tc>
          <w:tcPr>
            <w:tcW w:w="4085"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Calibri"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476" w:hRule="atLeast"/>
          <w:jc w:val="center"/>
        </w:trPr>
        <w:tc>
          <w:tcPr>
            <w:tcW w:w="90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86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213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4085"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tblPrEx>
          <w:tblCellMar>
            <w:top w:w="0" w:type="dxa"/>
            <w:left w:w="108" w:type="dxa"/>
            <w:bottom w:w="0" w:type="dxa"/>
            <w:right w:w="108" w:type="dxa"/>
          </w:tblCellMar>
        </w:tblPrEx>
        <w:trPr>
          <w:trHeight w:val="748" w:hRule="atLeast"/>
          <w:jc w:val="center"/>
        </w:trPr>
        <w:tc>
          <w:tcPr>
            <w:tcW w:w="286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213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3</w:t>
            </w:r>
          </w:p>
        </w:tc>
        <w:tc>
          <w:tcPr>
            <w:tcW w:w="4085"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347.08万元</w:t>
            </w:r>
            <w:bookmarkStart w:id="0" w:name="_GoBack"/>
            <w:bookmarkEnd w:id="0"/>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3</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3</w:t>
            </w:r>
          </w:p>
        </w:tc>
        <w:tc>
          <w:tcPr>
            <w:tcW w:w="76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6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825"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99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c>
          <w:tcPr>
            <w:tcW w:w="702" w:type="dxa"/>
            <w:tcBorders>
              <w:top w:val="single" w:color="auto" w:sz="4" w:space="0"/>
              <w:left w:val="nil"/>
              <w:bottom w:val="single" w:color="auto" w:sz="4" w:space="0"/>
              <w:right w:val="single" w:color="auto" w:sz="4" w:space="0"/>
            </w:tcBorders>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3</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0</w:t>
            </w:r>
          </w:p>
        </w:tc>
      </w:tr>
    </w:tbl>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8"/>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
        <w:gridCol w:w="607"/>
        <w:gridCol w:w="607"/>
        <w:gridCol w:w="607"/>
        <w:gridCol w:w="607"/>
        <w:gridCol w:w="607"/>
        <w:gridCol w:w="607"/>
        <w:gridCol w:w="607"/>
        <w:gridCol w:w="607"/>
        <w:gridCol w:w="607"/>
        <w:gridCol w:w="607"/>
        <w:gridCol w:w="607"/>
        <w:gridCol w:w="607"/>
        <w:gridCol w:w="607"/>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5"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081"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06"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608" w:type="dxa"/>
            <w:gridSpan w:val="2"/>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0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0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03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046"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6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608"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60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60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60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6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6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6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6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61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w:t>
            </w:r>
          </w:p>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607"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607" w:type="dxa"/>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0</w:t>
            </w:r>
          </w:p>
        </w:tc>
        <w:tc>
          <w:tcPr>
            <w:tcW w:w="607"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0</w:t>
            </w:r>
          </w:p>
        </w:tc>
        <w:tc>
          <w:tcPr>
            <w:tcW w:w="607" w:type="dxa"/>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0</w:t>
            </w:r>
          </w:p>
        </w:tc>
        <w:tc>
          <w:tcPr>
            <w:tcW w:w="607" w:type="dxa"/>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0</w:t>
            </w:r>
          </w:p>
        </w:tc>
        <w:tc>
          <w:tcPr>
            <w:tcW w:w="607"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0</w:t>
            </w:r>
          </w:p>
        </w:tc>
        <w:tc>
          <w:tcPr>
            <w:tcW w:w="607"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0</w:t>
            </w:r>
          </w:p>
        </w:tc>
        <w:tc>
          <w:tcPr>
            <w:tcW w:w="607"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0</w:t>
            </w:r>
          </w:p>
        </w:tc>
        <w:tc>
          <w:tcPr>
            <w:tcW w:w="607"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0</w:t>
            </w:r>
          </w:p>
        </w:tc>
        <w:tc>
          <w:tcPr>
            <w:tcW w:w="607"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0</w:t>
            </w:r>
          </w:p>
        </w:tc>
        <w:tc>
          <w:tcPr>
            <w:tcW w:w="607" w:type="dxa"/>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0</w:t>
            </w:r>
          </w:p>
        </w:tc>
        <w:tc>
          <w:tcPr>
            <w:tcW w:w="607"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0</w:t>
            </w:r>
          </w:p>
        </w:tc>
        <w:tc>
          <w:tcPr>
            <w:tcW w:w="607"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0</w:t>
            </w:r>
          </w:p>
        </w:tc>
        <w:tc>
          <w:tcPr>
            <w:tcW w:w="607" w:type="dxa"/>
            <w:tcBorders>
              <w:top w:val="single" w:color="auto" w:sz="4" w:space="0"/>
              <w:left w:val="nil"/>
              <w:bottom w:val="single" w:color="auto" w:sz="4" w:space="0"/>
              <w:right w:val="single" w:color="auto" w:sz="4" w:space="0"/>
            </w:tcBorders>
            <w:vAlign w:val="center"/>
          </w:tcPr>
          <w:p>
            <w:pPr>
              <w:jc w:val="center"/>
            </w:pPr>
            <w:r>
              <w:rPr>
                <w:rFonts w:hint="eastAsia"/>
                <w:lang w:val="en-US" w:eastAsia="zh-CN"/>
              </w:rPr>
              <w:t>0</w:t>
            </w:r>
          </w:p>
        </w:tc>
        <w:tc>
          <w:tcPr>
            <w:tcW w:w="618" w:type="dxa"/>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五、存在的主要问题及改进情况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黑体" w:eastAsia="楷体_GB2312"/>
          <w:sz w:val="32"/>
          <w:szCs w:val="32"/>
        </w:rPr>
      </w:pPr>
      <w:r>
        <w:rPr>
          <w:rFonts w:hint="eastAsia" w:ascii="楷体_GB2312" w:hAnsi="黑体" w:eastAsia="楷体_GB2312"/>
          <w:sz w:val="32"/>
          <w:szCs w:val="32"/>
        </w:rPr>
        <w:t>（一）主要问题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一是对政府信息公开的重要性还</w:t>
      </w:r>
      <w:r>
        <w:rPr>
          <w:rFonts w:hint="eastAsia" w:ascii="仿宋_GB2312" w:hAnsi="仿宋_GB2312" w:eastAsia="仿宋_GB2312" w:cs="仿宋_GB2312"/>
          <w:sz w:val="32"/>
          <w:szCs w:val="32"/>
          <w:lang w:eastAsia="zh-CN"/>
        </w:rPr>
        <w:t>需进一步提高</w:t>
      </w:r>
      <w:r>
        <w:rPr>
          <w:rFonts w:hint="eastAsia" w:ascii="仿宋_GB2312" w:hAnsi="仿宋_GB2312" w:eastAsia="仿宋_GB2312" w:cs="仿宋_GB2312"/>
          <w:sz w:val="32"/>
          <w:szCs w:val="32"/>
        </w:rPr>
        <w:t>；二是信息公开工作能力亟待加强，特别是在办理依申请公开和行政应复、应诉方面能力方面，需要持续加强指导和监督。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黑体" w:eastAsia="楷体_GB2312"/>
          <w:sz w:val="32"/>
          <w:szCs w:val="32"/>
        </w:rPr>
      </w:pPr>
      <w:r>
        <w:rPr>
          <w:rFonts w:hint="eastAsia" w:ascii="楷体_GB2312" w:hAnsi="黑体" w:eastAsia="楷体_GB2312"/>
          <w:sz w:val="32"/>
          <w:szCs w:val="32"/>
        </w:rPr>
        <w:t>（二）改进措施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一是进一步提高思想认识。把推进信息公开工作作为加强自身建设、提高服务水平的重要内容。加强组织领导，提高主动公开信息的意识，确保政府信息公开工作依法规范。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二是继续做好主动公开工作。继续加大政府信息主动公开的力度，确保依法、及时、准确、规范公开。尤其是针对</w:t>
      </w:r>
      <w:r>
        <w:rPr>
          <w:rFonts w:hint="eastAsia" w:ascii="仿宋_GB2312" w:hAnsi="仿宋_GB2312" w:eastAsia="仿宋_GB2312" w:cs="仿宋_GB2312"/>
          <w:sz w:val="32"/>
          <w:szCs w:val="32"/>
          <w:lang w:eastAsia="zh-CN"/>
        </w:rPr>
        <w:t>“优化服务”</w:t>
      </w:r>
      <w:r>
        <w:rPr>
          <w:rFonts w:hint="eastAsia" w:ascii="仿宋_GB2312" w:hAnsi="仿宋_GB2312" w:eastAsia="仿宋_GB2312" w:cs="仿宋_GB2312"/>
          <w:sz w:val="32"/>
          <w:szCs w:val="32"/>
        </w:rPr>
        <w:t>领域信息，要时时紧盯，及时更新，并认真研究，细挖亮点，进一步做出亮点，创出特色。三是加强政务公开有关法律法规及文件的学习，累积经验，不断提高应对能力，妥善地处理每一件申请件。要认真梳理好信息公开应诉工作，积极做好</w:t>
      </w:r>
      <w:r>
        <w:rPr>
          <w:rFonts w:hint="eastAsia" w:ascii="仿宋_GB2312" w:hAnsi="仿宋_GB2312" w:eastAsia="仿宋_GB2312" w:cs="仿宋_GB2312"/>
          <w:sz w:val="32"/>
          <w:szCs w:val="32"/>
          <w:lang w:eastAsia="zh-CN"/>
        </w:rPr>
        <w:t>准备</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复议和诉讼应诉工作。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本单位无其他报告事项</w:t>
      </w:r>
      <w:r>
        <w:rPr>
          <w:rFonts w:hint="eastAsia" w:ascii="仿宋_GB2312" w:hAnsi="仿宋_GB2312" w:eastAsia="仿宋_GB2312" w:cs="仿宋_GB2312"/>
          <w:kern w:val="0"/>
          <w:sz w:val="32"/>
          <w:szCs w:val="32"/>
          <w:lang w:eastAsia="zh-CN" w:bidi="ar"/>
        </w:rPr>
        <w:t>。</w:t>
      </w:r>
    </w:p>
    <w:p>
      <w:pPr>
        <w:pStyle w:val="2"/>
        <w:rPr>
          <w:rFonts w:hint="eastAsia" w:ascii="仿宋_GB2312" w:hAnsi="仿宋_GB2312" w:eastAsia="仿宋_GB2312" w:cs="仿宋_GB2312"/>
          <w:kern w:val="0"/>
          <w:sz w:val="32"/>
          <w:szCs w:val="32"/>
          <w:lang w:eastAsia="zh-CN" w:bidi="ar"/>
        </w:rPr>
      </w:pPr>
    </w:p>
    <w:p>
      <w:pPr>
        <w:rPr>
          <w:rFonts w:hint="eastAsia"/>
          <w:lang w:eastAsia="zh-CN"/>
        </w:rPr>
      </w:pPr>
    </w:p>
    <w:p>
      <w:pPr>
        <w:keepNext w:val="0"/>
        <w:keepLines w:val="0"/>
        <w:pageBreakBefore w:val="0"/>
        <w:kinsoku/>
        <w:wordWrap/>
        <w:overflowPunct/>
        <w:topLinePunct w:val="0"/>
        <w:autoSpaceDE/>
        <w:autoSpaceDN/>
        <w:bidi w:val="0"/>
        <w:adjustRightInd/>
        <w:snapToGrid/>
        <w:spacing w:line="560" w:lineRule="exact"/>
        <w:ind w:firstLine="5320" w:firstLineChars="1900"/>
        <w:textAlignment w:val="auto"/>
        <w:rPr>
          <w:rFonts w:hint="eastAsia" w:ascii="仿宋_GB2312" w:eastAsia="仿宋_GB2312"/>
          <w:sz w:val="28"/>
          <w:szCs w:val="28"/>
          <w:lang w:eastAsia="zh-CN"/>
        </w:rPr>
      </w:pPr>
      <w:r>
        <w:rPr>
          <w:rFonts w:hint="eastAsia" w:ascii="仿宋_GB2312" w:eastAsia="仿宋_GB2312"/>
          <w:sz w:val="28"/>
          <w:szCs w:val="28"/>
          <w:lang w:eastAsia="zh-CN"/>
        </w:rPr>
        <w:t>高青县行政审批服务局</w:t>
      </w:r>
    </w:p>
    <w:p>
      <w:pPr>
        <w:pStyle w:val="2"/>
        <w:ind w:firstLine="5320" w:firstLineChars="1900"/>
        <w:rPr>
          <w:rFonts w:hint="default"/>
          <w:lang w:val="en-US" w:eastAsia="zh-CN"/>
        </w:rPr>
      </w:pPr>
      <w:r>
        <w:rPr>
          <w:rFonts w:hint="eastAsia" w:ascii="仿宋_GB2312" w:eastAsia="仿宋_GB2312"/>
          <w:sz w:val="28"/>
          <w:szCs w:val="28"/>
          <w:lang w:val="en-US" w:eastAsia="zh-CN"/>
        </w:rPr>
        <w:t>2021年1月21日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z w:val="28"/>
          <w:szCs w:val="28"/>
        </w:rPr>
      </w:pP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BDC2B"/>
    <w:multiLevelType w:val="singleLevel"/>
    <w:tmpl w:val="877BDC2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FF"/>
    <w:rsid w:val="00003766"/>
    <w:rsid w:val="00011351"/>
    <w:rsid w:val="00033FFE"/>
    <w:rsid w:val="000406A0"/>
    <w:rsid w:val="00050F08"/>
    <w:rsid w:val="00067D0C"/>
    <w:rsid w:val="00097400"/>
    <w:rsid w:val="000B0330"/>
    <w:rsid w:val="000B0934"/>
    <w:rsid w:val="000E4BD9"/>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E217A"/>
    <w:rsid w:val="001E5229"/>
    <w:rsid w:val="001E6FDD"/>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310B91"/>
    <w:rsid w:val="00317F8F"/>
    <w:rsid w:val="003336C5"/>
    <w:rsid w:val="003343A1"/>
    <w:rsid w:val="00342B75"/>
    <w:rsid w:val="00361769"/>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A46AC"/>
    <w:rsid w:val="008D4B35"/>
    <w:rsid w:val="008D62E4"/>
    <w:rsid w:val="008E6862"/>
    <w:rsid w:val="008F0C7F"/>
    <w:rsid w:val="00902E17"/>
    <w:rsid w:val="00937389"/>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D32E2"/>
    <w:rsid w:val="00AD7912"/>
    <w:rsid w:val="00AE68F1"/>
    <w:rsid w:val="00AE6F46"/>
    <w:rsid w:val="00AF6C2E"/>
    <w:rsid w:val="00B0527D"/>
    <w:rsid w:val="00B10618"/>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C6D06"/>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01911785"/>
    <w:rsid w:val="05B01DCD"/>
    <w:rsid w:val="0A987CE8"/>
    <w:rsid w:val="123A4592"/>
    <w:rsid w:val="15E20CBF"/>
    <w:rsid w:val="17AE1641"/>
    <w:rsid w:val="1E56190E"/>
    <w:rsid w:val="1EF74A8E"/>
    <w:rsid w:val="21567F29"/>
    <w:rsid w:val="216D1BB6"/>
    <w:rsid w:val="239533E0"/>
    <w:rsid w:val="382341DD"/>
    <w:rsid w:val="40206AFC"/>
    <w:rsid w:val="4FF07F90"/>
    <w:rsid w:val="54C62659"/>
    <w:rsid w:val="5A9C0274"/>
    <w:rsid w:val="5B604992"/>
    <w:rsid w:val="6EDF21CF"/>
    <w:rsid w:val="7BEC2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styleId="4">
    <w:name w:val="Balloon Text"/>
    <w:basedOn w:val="1"/>
    <w:link w:val="13"/>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0"/>
    <w:rPr>
      <w:rFonts w:ascii="Verdana" w:hAnsi="Verdana" w:eastAsia="仿宋_GB2312" w:cs="Verdana"/>
      <w:b/>
      <w:bCs/>
      <w:kern w:val="0"/>
      <w:sz w:val="28"/>
      <w:szCs w:val="28"/>
      <w:lang w:eastAsia="en-US"/>
    </w:rPr>
  </w:style>
  <w:style w:type="character" w:styleId="11">
    <w:name w:val="FollowedHyperlink"/>
    <w:basedOn w:val="9"/>
    <w:semiHidden/>
    <w:unhideWhenUsed/>
    <w:qFormat/>
    <w:uiPriority w:val="99"/>
    <w:rPr>
      <w:color w:val="3D3D3D"/>
      <w:u w:val="none"/>
    </w:rPr>
  </w:style>
  <w:style w:type="character" w:styleId="12">
    <w:name w:val="Hyperlink"/>
    <w:basedOn w:val="9"/>
    <w:semiHidden/>
    <w:unhideWhenUsed/>
    <w:qFormat/>
    <w:uiPriority w:val="99"/>
    <w:rPr>
      <w:color w:val="3D3D3D"/>
      <w:u w:val="none"/>
    </w:rPr>
  </w:style>
  <w:style w:type="character" w:customStyle="1" w:styleId="13">
    <w:name w:val="批注框文本 Char"/>
    <w:basedOn w:val="9"/>
    <w:link w:val="4"/>
    <w:semiHidden/>
    <w:qFormat/>
    <w:uiPriority w:val="99"/>
    <w:rPr>
      <w:sz w:val="18"/>
      <w:szCs w:val="18"/>
    </w:rPr>
  </w:style>
  <w:style w:type="character" w:customStyle="1" w:styleId="14">
    <w:name w:val="标题 1 Char"/>
    <w:basedOn w:val="9"/>
    <w:link w:val="3"/>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character" w:customStyle="1" w:styleId="16">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13</Pages>
  <Words>3638</Words>
  <Characters>3784</Characters>
  <Lines>13</Lines>
  <Paragraphs>3</Paragraphs>
  <TotalTime>1392</TotalTime>
  <ScaleCrop>false</ScaleCrop>
  <LinksUpToDate>false</LinksUpToDate>
  <CharactersWithSpaces>3806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2021-01-08T09:26:00Z</dcterms:created>
  <dc:creator>lb</dc:creator>
  <cp:lastModifiedBy>。</cp:lastModifiedBy>
  <cp:lastPrinted>2021-01-21T06:41:00Z</cp:lastPrinted>
  <dcterms:modified xsi:type="dcterms:W3CDTF">2021-02-04T07:50:53Z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