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4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98"/>
        <w:gridCol w:w="1251"/>
        <w:gridCol w:w="1702"/>
        <w:gridCol w:w="2206"/>
        <w:gridCol w:w="1678"/>
        <w:gridCol w:w="2458"/>
        <w:gridCol w:w="24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375" w:hRule="atLeast"/>
        </w:trPr>
        <w:tc>
          <w:tcPr>
            <w:tcW w:w="169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Style w:val="5"/>
                <w:rFonts w:ascii="微软雅黑" w:hAnsi="微软雅黑" w:eastAsia="微软雅黑" w:cs="微软雅黑"/>
                <w:sz w:val="24"/>
                <w:szCs w:val="24"/>
                <w:bdr w:val="none" w:color="auto" w:sz="0" w:space="0"/>
              </w:rPr>
              <w:t>一级指标</w:t>
            </w:r>
          </w:p>
        </w:tc>
        <w:tc>
          <w:tcPr>
            <w:tcW w:w="12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二级指标</w:t>
            </w:r>
          </w:p>
        </w:tc>
        <w:tc>
          <w:tcPr>
            <w:tcW w:w="17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三级指标</w:t>
            </w:r>
          </w:p>
        </w:tc>
        <w:tc>
          <w:tcPr>
            <w:tcW w:w="22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维护内容及要求</w:t>
            </w:r>
          </w:p>
        </w:tc>
        <w:tc>
          <w:tcPr>
            <w:tcW w:w="16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责任主体</w:t>
            </w:r>
          </w:p>
        </w:tc>
        <w:tc>
          <w:tcPr>
            <w:tcW w:w="245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时限要求</w:t>
            </w:r>
          </w:p>
        </w:tc>
        <w:tc>
          <w:tcPr>
            <w:tcW w:w="245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Style w:val="5"/>
                <w:rFonts w:hint="eastAsia" w:ascii="微软雅黑" w:hAnsi="微软雅黑" w:eastAsia="微软雅黑" w:cs="微软雅黑"/>
                <w:sz w:val="24"/>
                <w:szCs w:val="24"/>
                <w:bdr w:val="none" w:color="auto" w:sz="0" w:space="0"/>
              </w:rPr>
              <w:t>公开方式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1"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机构职能</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高青县行政审批服务局机构职能</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机构职能信息（包括单位地址、邮政编码、联系方式，单位职责，领导姓名及分工，内设机构职责及联系方式，所属单位名称及联系方式等信息）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县行政审批服务局办公室</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部门职责任务清单</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单位职责任务清单</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县行政审批服务局办公室</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71"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权责清单</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县级政府部门权责清单</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政策文件</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部门文件</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县政府各部门印发的可以全文公开的文件。</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县行政审批服务局政策法规科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政策解读</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简明问答</w:t>
            </w:r>
          </w:p>
        </w:tc>
        <w:tc>
          <w:tcPr>
            <w:tcW w:w="220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xml:space="preserve">文件解读材料,需与对应政策文件双向 </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关联;通过简明问答、图解、视频、动漫等形式进行解读;政策背景、决策依</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据、出台目的、重要举措等解读内容要</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素全面</w:t>
            </w:r>
          </w:p>
        </w:tc>
        <w:tc>
          <w:tcPr>
            <w:tcW w:w="16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县行政审批服务局政策法规科</w:t>
            </w:r>
          </w:p>
        </w:tc>
        <w:tc>
          <w:tcPr>
            <w:tcW w:w="24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文稿解读</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视频解读</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领导干部解读</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图文解读</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公告公示</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公示公告信息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政策库</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针对社会热点、惠民政策等，整合梳理成的政策汇编</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31"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重要部署执行</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政府工作报告任务执行情况</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政府工作报告的任务分解、责任分工、进展成效、监督方式等信息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31"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年度重点工作完成情况</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年度重点工作的阶段性进展或取得的成效、落实情况和后续举措等信息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114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民生实事工作进展情况</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重点民生实事工作进展情况</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06"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建议提案</w:t>
            </w:r>
            <w:r>
              <w:rPr>
                <w:rFonts w:hint="eastAsia" w:ascii="微软雅黑" w:hAnsi="微软雅黑" w:eastAsia="微软雅黑" w:cs="微软雅黑"/>
                <w:caps w:val="0"/>
                <w:color w:val="000000"/>
                <w:spacing w:val="0"/>
                <w:sz w:val="24"/>
                <w:szCs w:val="24"/>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shd w:val="clear" w:fill="FFFFFF"/>
              </w:rPr>
              <w:t>办理</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建议提案办理总体情况</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人大代表建议、政协委员提案办理总体情况。</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96"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政协委员提案办理</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hd w:val="clear" w:fill="FFFFFF"/>
              <w:spacing w:before="0" w:beforeAutospacing="0" w:after="0" w:afterAutospacing="0" w:line="32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政协委员提案办理答复。</w:t>
            </w:r>
          </w:p>
          <w:p>
            <w:pPr>
              <w:pStyle w:val="2"/>
              <w:keepNext w:val="0"/>
              <w:keepLines w:val="0"/>
              <w:widowControl/>
              <w:suppressLineNumbers w:val="0"/>
              <w:shd w:val="clear" w:fill="FFFFFF"/>
              <w:spacing w:before="0" w:beforeAutospacing="0" w:after="0" w:afterAutospacing="0" w:line="32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标题名称统一为：对xx次会议第xx号提案的答复（提案主要内容）。</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答复提案提出人1个月内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96"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人大代表建议办理</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hd w:val="clear" w:fill="FFFFFF"/>
              <w:spacing w:before="0" w:beforeAutospacing="0" w:after="0" w:afterAutospacing="0" w:line="32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人大代表建议办理答复。</w:t>
            </w:r>
          </w:p>
          <w:p>
            <w:pPr>
              <w:pStyle w:val="2"/>
              <w:keepNext w:val="0"/>
              <w:keepLines w:val="0"/>
              <w:widowControl/>
              <w:suppressLineNumbers w:val="0"/>
              <w:shd w:val="clear" w:fill="FFFFFF"/>
              <w:spacing w:before="0" w:beforeAutospacing="0" w:after="0" w:afterAutospacing="0" w:line="32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标题名称统一为：对xx次会议第xx号建议的答复（建议主要内容）。</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答复建议提出人1个月内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0"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财政信息</w:t>
            </w:r>
          </w:p>
        </w:tc>
        <w:tc>
          <w:tcPr>
            <w:tcW w:w="125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财政预决算信息</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部门乡镇预算信息</w:t>
            </w:r>
          </w:p>
        </w:tc>
        <w:tc>
          <w:tcPr>
            <w:tcW w:w="220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部门预算信息、部门决算信息、三公经费预决算信息</w:t>
            </w:r>
          </w:p>
        </w:tc>
        <w:tc>
          <w:tcPr>
            <w:tcW w:w="16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县行政审批服务局办公室</w:t>
            </w:r>
          </w:p>
        </w:tc>
        <w:tc>
          <w:tcPr>
            <w:tcW w:w="24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11"/>
                <w:sz w:val="24"/>
                <w:szCs w:val="24"/>
                <w:bdr w:val="none" w:color="auto" w:sz="0" w:space="0"/>
                <w:shd w:val="clear" w:fill="FFFFFF"/>
              </w:rPr>
              <w:t>政府预决算在县人代会或其常务委员会批准后20日内公开；各部门单位在财政局批复其预决算及相关信息形成或变更之日起20日内公开</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部门乡镇决算信息</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三公经费预决算</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96"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重大建设项目</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批准服务信息</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申报要求、申报材料清单、批准流程、办理时限、受理机构联系方式、监督举报方式等基本信息。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县行政审批服务局投资项目科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0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批准结果信息</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建设工程施工许可证</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建设工程许可证信息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县行政审批服务局投资项目科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96"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社会信用体系</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行政许可公示</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行政许可信息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县行政审批服务局市场准入科、社会事务科、涉农事务科、投资项目科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作出许可决定起7个工作日内公示</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行政执法公示</w:t>
            </w:r>
          </w:p>
        </w:tc>
        <w:tc>
          <w:tcPr>
            <w:tcW w:w="125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事前公开</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行政执法事项清单</w:t>
            </w:r>
          </w:p>
        </w:tc>
        <w:tc>
          <w:tcPr>
            <w:tcW w:w="220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执法主体、行政执法事项清单、行政执法人员资格清单、行政执法服务指南、行政执法流程图等信息</w:t>
            </w:r>
          </w:p>
        </w:tc>
        <w:tc>
          <w:tcPr>
            <w:tcW w:w="16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县行政审批服务局市场准入科、社会事务科、涉农事务科、投资项目科</w:t>
            </w:r>
          </w:p>
        </w:tc>
        <w:tc>
          <w:tcPr>
            <w:tcW w:w="24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行政执法服务指南</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行政执法人员资格清单</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行政执法流程图</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事后公开</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执法结果</w:t>
            </w:r>
          </w:p>
        </w:tc>
        <w:tc>
          <w:tcPr>
            <w:tcW w:w="220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执法结果等信息</w:t>
            </w:r>
          </w:p>
        </w:tc>
        <w:tc>
          <w:tcPr>
            <w:tcW w:w="16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县行政审批服务局市场准入科、社会事务科、涉农事务科、投资项目科</w:t>
            </w:r>
          </w:p>
        </w:tc>
        <w:tc>
          <w:tcPr>
            <w:tcW w:w="24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11"/>
                <w:sz w:val="24"/>
                <w:szCs w:val="24"/>
                <w:bdr w:val="none" w:color="auto" w:sz="0" w:space="0"/>
                <w:shd w:val="clear" w:fill="FFFFFF"/>
              </w:rPr>
              <w:t>执法决定作出之日起20个工作日内。行政许可行政处罚的执法决定信息在执法决定作出之日起7个工作日内。法律、行政法规另有规定的从其规定。</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96"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执法统计年报</w:t>
            </w: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优化服务</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事项划转清单</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事项划转清单</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告知承诺事项服务清单</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告知承诺事项服务清单</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6"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依申请“六办”事项清单</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hd w:val="clear" w:fill="FFFFFF"/>
              <w:spacing w:before="0" w:beforeAutospacing="0" w:after="0" w:afterAutospacing="0" w:line="30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“一次办”事项清单</w:t>
            </w:r>
          </w:p>
          <w:p>
            <w:pPr>
              <w:pStyle w:val="2"/>
              <w:keepNext w:val="0"/>
              <w:keepLines w:val="0"/>
              <w:widowControl/>
              <w:suppressLineNumbers w:val="0"/>
              <w:shd w:val="clear" w:fill="FFFFFF"/>
              <w:spacing w:before="0" w:beforeAutospacing="0" w:after="0" w:afterAutospacing="0" w:line="30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“就近办”事项清单</w:t>
            </w:r>
          </w:p>
          <w:p>
            <w:pPr>
              <w:pStyle w:val="2"/>
              <w:keepNext w:val="0"/>
              <w:keepLines w:val="0"/>
              <w:widowControl/>
              <w:suppressLineNumbers w:val="0"/>
              <w:shd w:val="clear" w:fill="FFFFFF"/>
              <w:spacing w:before="0" w:beforeAutospacing="0" w:after="0" w:afterAutospacing="0" w:line="30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“承诺办”事项清单</w:t>
            </w:r>
          </w:p>
          <w:p>
            <w:pPr>
              <w:pStyle w:val="2"/>
              <w:keepNext w:val="0"/>
              <w:keepLines w:val="0"/>
              <w:widowControl/>
              <w:suppressLineNumbers w:val="0"/>
              <w:shd w:val="clear" w:fill="FFFFFF"/>
              <w:spacing w:before="0" w:beforeAutospacing="0" w:after="0" w:afterAutospacing="0" w:line="30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“网上办”事项清单</w:t>
            </w:r>
          </w:p>
          <w:p>
            <w:pPr>
              <w:pStyle w:val="2"/>
              <w:keepNext w:val="0"/>
              <w:keepLines w:val="0"/>
              <w:widowControl/>
              <w:suppressLineNumbers w:val="0"/>
              <w:shd w:val="clear" w:fill="FFFFFF"/>
              <w:spacing w:before="0" w:beforeAutospacing="0" w:after="0" w:afterAutospacing="0" w:line="30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“预约办”事项清单</w:t>
            </w:r>
          </w:p>
          <w:p>
            <w:pPr>
              <w:pStyle w:val="2"/>
              <w:keepNext w:val="0"/>
              <w:keepLines w:val="0"/>
              <w:widowControl/>
              <w:suppressLineNumbers w:val="0"/>
              <w:shd w:val="clear" w:fill="FFFFFF"/>
              <w:spacing w:before="0" w:beforeAutospacing="0" w:after="0" w:afterAutospacing="0" w:line="300" w:lineRule="atLeast"/>
              <w:ind w:left="0" w:right="0" w:firstLine="0"/>
              <w:jc w:val="center"/>
            </w:pPr>
            <w:r>
              <w:rPr>
                <w:rFonts w:hint="eastAsia" w:ascii="微软雅黑" w:hAnsi="微软雅黑" w:eastAsia="微软雅黑" w:cs="微软雅黑"/>
                <w:caps w:val="0"/>
                <w:color w:val="000000"/>
                <w:spacing w:val="0"/>
                <w:sz w:val="24"/>
                <w:szCs w:val="24"/>
                <w:shd w:val="clear" w:fill="FFFFFF"/>
              </w:rPr>
              <w:t>“马上办”事项清单</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75"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政务服务事项目录</w:t>
            </w:r>
          </w:p>
        </w:tc>
        <w:tc>
          <w:tcPr>
            <w:tcW w:w="170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公开办事指南及流程、公共服务事项办件结果、企业及个人全生命周期事项办理指南、流程、过程结果查询等信息。</w:t>
            </w:r>
          </w:p>
        </w:tc>
        <w:tc>
          <w:tcPr>
            <w:tcW w:w="16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县行政审批服务局业务协调科</w:t>
            </w:r>
          </w:p>
        </w:tc>
        <w:tc>
          <w:tcPr>
            <w:tcW w:w="24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9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政务服务办事指南</w:t>
            </w:r>
          </w:p>
        </w:tc>
        <w:tc>
          <w:tcPr>
            <w:tcW w:w="170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政务服务“好差评”</w:t>
            </w:r>
          </w:p>
        </w:tc>
        <w:tc>
          <w:tcPr>
            <w:tcW w:w="170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20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6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1"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卫生健康</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公共卫生服务</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本行政区域内基本公共卫生服务项目承担机构目录；区域内医疗机构数量、布局及床位、大型设备等资源配置情况；医疗服务价格、医用耗材价格、药品价格</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县行政审批服务局市场准入科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社会组织</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社会组织审批等信息</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县行政审批服务局社会事务科</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265"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政府信息公开指南</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县直部门政府信息公开指南</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各单位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p>
            <w:pPr>
              <w:pStyle w:val="2"/>
              <w:keepNext w:val="0"/>
              <w:keepLines w:val="0"/>
              <w:widowControl/>
              <w:suppressLineNumbers w:val="0"/>
              <w:ind w:left="0" w:firstLine="260"/>
              <w:jc w:val="center"/>
            </w:pPr>
            <w:r>
              <w:rPr>
                <w:rFonts w:hint="eastAsia" w:ascii="微软雅黑" w:hAnsi="微软雅黑" w:eastAsia="微软雅黑" w:cs="微软雅黑"/>
                <w:sz w:val="24"/>
                <w:szCs w:val="24"/>
              </w:rPr>
              <w:t> </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主动公开基本目录</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县直部门主动公开基本目录</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0" w:firstLine="260"/>
              <w:jc w:val="center"/>
            </w:pPr>
            <w:r>
              <w:rPr>
                <w:rFonts w:hint="eastAsia" w:ascii="微软雅黑" w:hAnsi="微软雅黑" w:eastAsia="微软雅黑" w:cs="微软雅黑"/>
                <w:caps w:val="0"/>
                <w:color w:val="000000"/>
                <w:spacing w:val="0"/>
                <w:sz w:val="24"/>
                <w:szCs w:val="24"/>
                <w:shd w:val="clear" w:fill="FFFFFF"/>
              </w:rPr>
              <w:t>县直部门单位信息公开目录</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345"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政府信息公开年度报告</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县直部门单位年度报告</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0" w:firstLine="260"/>
              <w:jc w:val="center"/>
            </w:pPr>
            <w:r>
              <w:rPr>
                <w:rFonts w:hint="eastAsia" w:ascii="微软雅黑" w:hAnsi="微软雅黑" w:eastAsia="微软雅黑" w:cs="微软雅黑"/>
                <w:caps w:val="0"/>
                <w:color w:val="000000"/>
                <w:spacing w:val="0"/>
                <w:sz w:val="24"/>
                <w:szCs w:val="24"/>
                <w:shd w:val="clear" w:fill="FFFFFF"/>
              </w:rPr>
              <w:t>各单位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每年1月31日前向县政府办公室提交本单位上年度政府信息公开年度报告并公开</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优化营商环境</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0" w:firstLine="260"/>
              <w:jc w:val="center"/>
            </w:pPr>
            <w:r>
              <w:rPr>
                <w:rFonts w:hint="eastAsia" w:ascii="微软雅黑" w:hAnsi="微软雅黑" w:eastAsia="微软雅黑" w:cs="微软雅黑"/>
                <w:caps w:val="0"/>
                <w:color w:val="000000"/>
                <w:spacing w:val="0"/>
                <w:sz w:val="24"/>
                <w:szCs w:val="24"/>
                <w:shd w:val="clear" w:fill="FFFFFF"/>
              </w:rPr>
              <w:t>优化营商环境工作动态</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政府信息公开制度</w:t>
            </w: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0" w:firstLine="260"/>
              <w:jc w:val="center"/>
            </w:pPr>
            <w:r>
              <w:rPr>
                <w:rFonts w:hint="eastAsia" w:ascii="微软雅黑" w:hAnsi="微软雅黑" w:eastAsia="微软雅黑" w:cs="微软雅黑"/>
                <w:sz w:val="24"/>
                <w:szCs w:val="24"/>
              </w:rPr>
              <w:t>政府信息公开工作要点</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 </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941" w:hRule="atLeast"/>
        </w:trPr>
        <w:tc>
          <w:tcPr>
            <w:tcW w:w="1698" w:type="dxa"/>
            <w:vMerge w:val="restart"/>
            <w:tcBorders>
              <w:top w:val="nil"/>
              <w:left w:val="single" w:color="auto" w:sz="8" w:space="0"/>
              <w:bottom w:val="outset"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政务公开组织管理</w:t>
            </w:r>
          </w:p>
        </w:tc>
        <w:tc>
          <w:tcPr>
            <w:tcW w:w="1251" w:type="dxa"/>
            <w:vMerge w:val="restart"/>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工作机构</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组织领导</w:t>
            </w:r>
          </w:p>
        </w:tc>
        <w:tc>
          <w:tcPr>
            <w:tcW w:w="2206" w:type="dxa"/>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20" w:beforeAutospacing="0" w:after="390" w:afterAutospacing="0"/>
              <w:ind w:left="0" w:right="0" w:firstLine="0"/>
              <w:jc w:val="center"/>
            </w:pPr>
            <w:r>
              <w:rPr>
                <w:rFonts w:hint="eastAsia" w:ascii="微软雅黑" w:hAnsi="微软雅黑" w:eastAsia="微软雅黑" w:cs="微软雅黑"/>
                <w:caps w:val="0"/>
                <w:color w:val="333333"/>
                <w:spacing w:val="0"/>
                <w:sz w:val="24"/>
                <w:szCs w:val="24"/>
              </w:rPr>
              <w:t>政务公开分管领导以及专职人员配备相关信息</w:t>
            </w:r>
          </w:p>
          <w:p>
            <w:pPr>
              <w:pStyle w:val="2"/>
              <w:keepNext w:val="0"/>
              <w:keepLines w:val="0"/>
              <w:widowControl/>
              <w:suppressLineNumbers w:val="0"/>
              <w:ind w:left="0" w:firstLine="260"/>
              <w:jc w:val="center"/>
            </w:pPr>
            <w:r>
              <w:rPr>
                <w:rFonts w:hint="eastAsia" w:ascii="微软雅黑" w:hAnsi="微软雅黑" w:eastAsia="微软雅黑" w:cs="微软雅黑"/>
                <w:sz w:val="24"/>
                <w:szCs w:val="24"/>
              </w:rPr>
              <w:t> </w:t>
            </w:r>
          </w:p>
        </w:tc>
        <w:tc>
          <w:tcPr>
            <w:tcW w:w="1678" w:type="dxa"/>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1698" w:type="dxa"/>
            <w:vMerge w:val="continue"/>
            <w:tcBorders>
              <w:top w:val="nil"/>
              <w:left w:val="single" w:color="auto" w:sz="8" w:space="0"/>
              <w:bottom w:val="out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vMerge w:val="continue"/>
            <w:tcBorders>
              <w:top w:val="nil"/>
              <w:left w:val="nil"/>
              <w:bottom w:val="out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机构设置</w:t>
            </w:r>
          </w:p>
        </w:tc>
        <w:tc>
          <w:tcPr>
            <w:tcW w:w="2206" w:type="dxa"/>
            <w:tcBorders>
              <w:top w:val="outset"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caps w:val="0"/>
                <w:color w:val="333333"/>
                <w:spacing w:val="0"/>
                <w:sz w:val="24"/>
                <w:szCs w:val="24"/>
                <w:bdr w:val="none" w:color="auto" w:sz="0" w:space="0"/>
              </w:rPr>
              <w:t>政务公开机构设置</w:t>
            </w:r>
          </w:p>
        </w:tc>
        <w:tc>
          <w:tcPr>
            <w:tcW w:w="1678" w:type="dxa"/>
            <w:tcBorders>
              <w:top w:val="outset"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outset"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outset"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51" w:hRule="atLeast"/>
        </w:trPr>
        <w:tc>
          <w:tcPr>
            <w:tcW w:w="1698" w:type="dxa"/>
            <w:vMerge w:val="continue"/>
            <w:tcBorders>
              <w:top w:val="nil"/>
              <w:left w:val="single" w:color="auto" w:sz="8" w:space="0"/>
              <w:bottom w:val="out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业务培训</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1020" w:beforeAutospacing="0" w:after="390" w:afterAutospacing="0"/>
              <w:ind w:left="0" w:right="0" w:firstLine="0"/>
              <w:jc w:val="center"/>
            </w:pPr>
            <w:r>
              <w:rPr>
                <w:rFonts w:hint="eastAsia" w:ascii="微软雅黑" w:hAnsi="微软雅黑" w:eastAsia="微软雅黑" w:cs="微软雅黑"/>
                <w:caps w:val="0"/>
                <w:color w:val="333333"/>
                <w:spacing w:val="0"/>
                <w:sz w:val="24"/>
                <w:szCs w:val="24"/>
              </w:rPr>
              <w:t>政务公开工作培训计划</w:t>
            </w:r>
          </w:p>
          <w:p>
            <w:pPr>
              <w:pStyle w:val="2"/>
              <w:keepNext w:val="0"/>
              <w:keepLines w:val="0"/>
              <w:widowControl/>
              <w:suppressLineNumbers w:val="0"/>
              <w:ind w:left="0" w:firstLine="260"/>
              <w:jc w:val="center"/>
            </w:pPr>
            <w:r>
              <w:rPr>
                <w:rFonts w:hint="eastAsia" w:ascii="微软雅黑" w:hAnsi="微软雅黑" w:eastAsia="微软雅黑" w:cs="微软雅黑"/>
                <w:sz w:val="24"/>
                <w:szCs w:val="24"/>
              </w:rPr>
              <w:t> </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26" w:hRule="atLeast"/>
        </w:trPr>
        <w:tc>
          <w:tcPr>
            <w:tcW w:w="1698" w:type="dxa"/>
            <w:vMerge w:val="continue"/>
            <w:tcBorders>
              <w:top w:val="nil"/>
              <w:left w:val="single" w:color="auto" w:sz="8" w:space="0"/>
              <w:bottom w:val="out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工作推进</w:t>
            </w:r>
          </w:p>
        </w:tc>
        <w:tc>
          <w:tcPr>
            <w:tcW w:w="17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 </w:t>
            </w:r>
          </w:p>
        </w:tc>
        <w:tc>
          <w:tcPr>
            <w:tcW w:w="22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0" w:firstLine="260"/>
              <w:jc w:val="center"/>
            </w:pPr>
            <w:r>
              <w:rPr>
                <w:rFonts w:hint="eastAsia" w:ascii="微软雅黑" w:hAnsi="微软雅黑" w:eastAsia="微软雅黑" w:cs="微软雅黑"/>
                <w:sz w:val="24"/>
                <w:szCs w:val="24"/>
              </w:rPr>
              <w:t>政务公开工作实施方案</w:t>
            </w:r>
          </w:p>
        </w:tc>
        <w:tc>
          <w:tcPr>
            <w:tcW w:w="1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根据文件要求涉及具体科室负责</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aps w:val="0"/>
                <w:color w:val="000000"/>
                <w:spacing w:val="0"/>
                <w:sz w:val="24"/>
                <w:szCs w:val="24"/>
                <w:bdr w:val="none" w:color="auto" w:sz="0" w:space="0"/>
                <w:shd w:val="clear" w:fill="FFFFFF"/>
              </w:rPr>
              <w:t>自该信息形成或者变更之日起20个工作日内。</w:t>
            </w:r>
          </w:p>
        </w:tc>
        <w:tc>
          <w:tcPr>
            <w:tcW w:w="24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“高青县人民政府”网站公开</w:t>
            </w:r>
          </w:p>
        </w:tc>
      </w:tr>
    </w:tbl>
    <w:p>
      <w:pPr>
        <w:ind w:left="420" w:leftChars="0" w:hanging="420" w:hangingChars="200"/>
      </w:pPr>
      <w:bookmarkStart w:id="0" w:name="_GoBack"/>
      <w:bookmarkEnd w:id="0"/>
    </w:p>
    <w:sectPr>
      <w:pgSz w:w="16838" w:h="23811"/>
      <w:pgMar w:top="1440" w:right="2218" w:bottom="1440" w:left="3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GMwODk4OWMzNWZmNGZkNzY4OGE2Mjc4NGIwODQifQ=="/>
  </w:docVars>
  <w:rsids>
    <w:rsidRoot w:val="1A4911C2"/>
    <w:rsid w:val="1A49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2022-11-17T06:56:00Z</dcterms:created>
  <dc:creator>91664</dc:creator>
  <cp:lastModifiedBy>91664</cp:lastModifiedBy>
  <dcterms:modified xsi:type="dcterms:W3CDTF">2022-11-17T06:57:35Z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30D5CAF7733F40D5AB39F33D21BAF3B4</vt:lpwstr>
  </property>
</Properties>
</file>