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宋体" w:eastAsia="方正小标宋简体" w:cs="宋体"/>
          <w:spacing w:val="12"/>
          <w:kern w:val="0"/>
          <w:sz w:val="44"/>
          <w:szCs w:val="44"/>
        </w:rPr>
      </w:pPr>
      <w:r>
        <w:rPr>
          <w:rFonts w:hint="eastAsia" w:ascii="方正小标宋简体" w:hAnsi="宋体" w:eastAsia="方正小标宋简体" w:cs="宋体"/>
          <w:spacing w:val="12"/>
          <w:kern w:val="0"/>
          <w:sz w:val="44"/>
          <w:szCs w:val="44"/>
        </w:rPr>
        <w:t>高青县安全生产行政处罚委托书</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委托单位：高青县应急管理局</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受委托单位：唐坊镇人民政府</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为进一步加强安全生产监督管理，规范基层安全生产行政执法工作，依法确立行政执法委托机关与受委托单位的权利和义务，根据《中华人民共和国安全生产法》、《中华人民共和国行政处罚法》、《山东省安全生产条例》、《安全生产违法行为行政处罚办法》等规定，受委托单位按照下列要求行使安全生产监督管理职能和行政处罚权。</w:t>
      </w:r>
    </w:p>
    <w:p>
      <w:pPr>
        <w:snapToGrid w:val="0"/>
        <w:spacing w:line="580" w:lineRule="exact"/>
        <w:ind w:firstLine="688" w:firstLineChars="200"/>
        <w:jc w:val="left"/>
        <w:rPr>
          <w:rFonts w:hint="eastAsia" w:ascii="黑体" w:hAnsi="宋体" w:eastAsia="黑体" w:cs="宋体"/>
          <w:spacing w:val="12"/>
          <w:kern w:val="0"/>
          <w:sz w:val="32"/>
          <w:szCs w:val="32"/>
          <w:lang w:eastAsia="zh-CN"/>
        </w:rPr>
      </w:pPr>
      <w:r>
        <w:rPr>
          <w:rFonts w:hint="eastAsia" w:ascii="黑体" w:hAnsi="宋体" w:eastAsia="黑体" w:cs="宋体"/>
          <w:spacing w:val="12"/>
          <w:kern w:val="0"/>
          <w:sz w:val="32"/>
          <w:szCs w:val="32"/>
        </w:rPr>
        <w:t>一、委托执法范围</w:t>
      </w:r>
      <w:r>
        <w:rPr>
          <w:rFonts w:hint="eastAsia" w:ascii="黑体" w:hAnsi="宋体" w:eastAsia="黑体" w:cs="宋体"/>
          <w:spacing w:val="12"/>
          <w:kern w:val="0"/>
          <w:sz w:val="32"/>
          <w:szCs w:val="32"/>
          <w:lang w:eastAsia="zh-CN"/>
        </w:rPr>
        <w:t>、</w:t>
      </w:r>
      <w:r>
        <w:rPr>
          <w:rFonts w:hint="eastAsia" w:ascii="黑体" w:hAnsi="宋体" w:eastAsia="黑体" w:cs="宋体"/>
          <w:spacing w:val="12"/>
          <w:kern w:val="0"/>
          <w:sz w:val="32"/>
          <w:szCs w:val="32"/>
        </w:rPr>
        <w:t>权限</w:t>
      </w:r>
      <w:r>
        <w:rPr>
          <w:rFonts w:hint="eastAsia" w:ascii="黑体" w:hAnsi="宋体" w:eastAsia="黑体" w:cs="宋体"/>
          <w:spacing w:val="12"/>
          <w:kern w:val="0"/>
          <w:sz w:val="32"/>
          <w:szCs w:val="32"/>
          <w:lang w:eastAsia="zh-CN"/>
        </w:rPr>
        <w:t>和时限</w:t>
      </w:r>
    </w:p>
    <w:p>
      <w:pPr>
        <w:snapToGrid w:val="0"/>
        <w:spacing w:line="580" w:lineRule="exact"/>
        <w:ind w:firstLine="688" w:firstLineChars="200"/>
        <w:jc w:val="left"/>
        <w:rPr>
          <w:rFonts w:hint="default" w:ascii="方正仿宋简体" w:hAnsi="宋体" w:eastAsia="方正仿宋简体" w:cs="宋体"/>
          <w:spacing w:val="12"/>
          <w:kern w:val="0"/>
          <w:sz w:val="32"/>
          <w:szCs w:val="32"/>
          <w:lang w:val="en-US" w:eastAsia="zh-CN"/>
        </w:rPr>
      </w:pPr>
      <w:r>
        <w:rPr>
          <w:rFonts w:hint="eastAsia" w:ascii="方正仿宋简体" w:hAnsi="宋体" w:eastAsia="方正仿宋简体" w:cs="宋体"/>
          <w:spacing w:val="12"/>
          <w:kern w:val="0"/>
          <w:sz w:val="32"/>
          <w:szCs w:val="32"/>
        </w:rPr>
        <w:t>委托执法的范围：本行政区域内非煤矿山、危险化学品、烟花爆竹领域及其他工矿商贸生产经营单位的安全生产行政执法工作</w:t>
      </w:r>
      <w:r>
        <w:rPr>
          <w:rFonts w:hint="eastAsia" w:ascii="方正仿宋简体" w:hAnsi="宋体" w:eastAsia="方正仿宋简体" w:cs="宋体"/>
          <w:spacing w:val="12"/>
          <w:kern w:val="0"/>
          <w:sz w:val="32"/>
          <w:szCs w:val="32"/>
          <w:lang w:eastAsia="zh-CN"/>
        </w:rPr>
        <w:t>；</w:t>
      </w:r>
      <w:r>
        <w:rPr>
          <w:rFonts w:hint="eastAsia" w:ascii="方正仿宋简体" w:hAnsi="宋体" w:eastAsia="方正仿宋简体" w:cs="宋体"/>
          <w:spacing w:val="12"/>
          <w:kern w:val="0"/>
          <w:sz w:val="32"/>
          <w:szCs w:val="32"/>
        </w:rPr>
        <w:t>委托执法</w:t>
      </w:r>
      <w:r>
        <w:rPr>
          <w:rFonts w:hint="eastAsia" w:ascii="方正仿宋简体" w:hAnsi="宋体" w:eastAsia="方正仿宋简体" w:cs="宋体"/>
          <w:spacing w:val="12"/>
          <w:kern w:val="0"/>
          <w:sz w:val="32"/>
          <w:szCs w:val="32"/>
          <w:lang w:eastAsia="zh-CN"/>
        </w:rPr>
        <w:t>时限：</w:t>
      </w:r>
      <w:r>
        <w:rPr>
          <w:rFonts w:hint="eastAsia" w:ascii="方正仿宋简体" w:hAnsi="宋体" w:eastAsia="方正仿宋简体" w:cs="宋体"/>
          <w:spacing w:val="12"/>
          <w:kern w:val="0"/>
          <w:sz w:val="32"/>
          <w:szCs w:val="32"/>
          <w:lang w:val="en-US" w:eastAsia="zh-CN"/>
        </w:rPr>
        <w:t>2022年1月1日至2026年12月31日。</w:t>
      </w:r>
    </w:p>
    <w:p>
      <w:pPr>
        <w:snapToGrid w:val="0"/>
        <w:spacing w:line="580" w:lineRule="exact"/>
        <w:ind w:firstLine="688" w:firstLineChars="200"/>
        <w:jc w:val="left"/>
        <w:rPr>
          <w:rFonts w:ascii="黑体" w:hAnsi="宋体" w:eastAsia="黑体" w:cs="宋体"/>
          <w:spacing w:val="12"/>
          <w:kern w:val="0"/>
          <w:sz w:val="32"/>
          <w:szCs w:val="32"/>
        </w:rPr>
      </w:pPr>
      <w:bookmarkStart w:id="0" w:name="_GoBack"/>
      <w:bookmarkEnd w:id="0"/>
      <w:r>
        <w:rPr>
          <w:rFonts w:hint="eastAsia" w:ascii="黑体" w:hAnsi="宋体" w:eastAsia="黑体" w:cs="宋体"/>
          <w:spacing w:val="12"/>
          <w:kern w:val="0"/>
          <w:sz w:val="32"/>
          <w:szCs w:val="32"/>
        </w:rPr>
        <w:t>二、委托执法权限</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（一）监督检查权</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1</w:t>
      </w:r>
      <w:r>
        <w:rPr>
          <w:rFonts w:hint="eastAsia" w:ascii="方正仿宋简体" w:hAnsi="宋体" w:eastAsia="方正仿宋简体" w:cs="宋体"/>
          <w:spacing w:val="12"/>
          <w:kern w:val="0"/>
          <w:sz w:val="32"/>
          <w:szCs w:val="32"/>
        </w:rPr>
        <w:t>、依法对管辖区域内的生产经营单位执行有关安全生产法律和国家、行业、地方标准的情况进行监督检查；</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2</w:t>
      </w:r>
      <w:r>
        <w:rPr>
          <w:rFonts w:hint="eastAsia" w:ascii="方正仿宋简体" w:hAnsi="宋体" w:eastAsia="方正仿宋简体" w:cs="宋体"/>
          <w:spacing w:val="12"/>
          <w:kern w:val="0"/>
          <w:sz w:val="32"/>
          <w:szCs w:val="32"/>
        </w:rPr>
        <w:t>、进入生产经营单位进行检查，调阅有关资料，向有关单位和人员了解情况；</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3</w:t>
      </w:r>
      <w:r>
        <w:rPr>
          <w:rFonts w:hint="eastAsia" w:ascii="方正仿宋简体" w:hAnsi="宋体" w:eastAsia="方正仿宋简体" w:cs="宋体"/>
          <w:spacing w:val="12"/>
          <w:kern w:val="0"/>
          <w:sz w:val="32"/>
          <w:szCs w:val="32"/>
        </w:rPr>
        <w:t>、监控管辖区域内的危险化学品重大危险源，督促完善动态监控及预警预报体系，依法落实监管职责；</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4</w:t>
      </w:r>
      <w:r>
        <w:rPr>
          <w:rFonts w:hint="eastAsia" w:ascii="方正仿宋简体" w:hAnsi="宋体" w:eastAsia="方正仿宋简体" w:cs="宋体"/>
          <w:spacing w:val="12"/>
          <w:kern w:val="0"/>
          <w:sz w:val="32"/>
          <w:szCs w:val="32"/>
        </w:rPr>
        <w:t>、及时报告管辖区域内生产安全事故，参与生产安全事故调查处理和应急救援工作；</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5</w:t>
      </w:r>
      <w:r>
        <w:rPr>
          <w:rFonts w:hint="eastAsia" w:ascii="方正仿宋简体" w:hAnsi="宋体" w:eastAsia="方正仿宋简体" w:cs="宋体"/>
          <w:spacing w:val="12"/>
          <w:kern w:val="0"/>
          <w:sz w:val="32"/>
          <w:szCs w:val="32"/>
        </w:rPr>
        <w:t>、受理、办理管辖区域内生产经营单位存在事故隐患或者安全生产违法行为和生产安全事故的举报和来信来访工作。</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（二）责令整改和紧急处置权</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1</w:t>
      </w:r>
      <w:r>
        <w:rPr>
          <w:rFonts w:hint="eastAsia" w:ascii="方正仿宋简体" w:hAnsi="宋体" w:eastAsia="方正仿宋简体" w:cs="宋体"/>
          <w:spacing w:val="12"/>
          <w:kern w:val="0"/>
          <w:sz w:val="32"/>
          <w:szCs w:val="32"/>
        </w:rPr>
        <w:t>、对检查中发现的安全生产违法行为，当场予以纠正或者要求限期改正，并对整改情况进行复查；</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2</w:t>
      </w:r>
      <w:r>
        <w:rPr>
          <w:rFonts w:hint="eastAsia" w:ascii="方正仿宋简体" w:hAnsi="宋体" w:eastAsia="方正仿宋简体" w:cs="宋体"/>
          <w:spacing w:val="12"/>
          <w:kern w:val="0"/>
          <w:sz w:val="32"/>
          <w:szCs w:val="32"/>
        </w:rPr>
        <w:t>、对依法应当给予行政处罚的行为，依照有关法律法规和本委托书委托事项作出行政处罚决定；</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3、</w:t>
      </w:r>
      <w:r>
        <w:rPr>
          <w:rFonts w:hint="eastAsia" w:ascii="方正仿宋简体" w:hAnsi="宋体" w:eastAsia="方正仿宋简体" w:cs="宋体"/>
          <w:spacing w:val="12"/>
          <w:kern w:val="0"/>
          <w:sz w:val="32"/>
          <w:szCs w:val="32"/>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snapToGrid w:val="0"/>
        <w:spacing w:line="580" w:lineRule="exact"/>
        <w:ind w:firstLine="516" w:firstLineChars="15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 xml:space="preserve"> </w:t>
      </w:r>
      <w:r>
        <w:rPr>
          <w:rFonts w:ascii="Times New Roman" w:hAnsi="Times New Roman" w:eastAsia="方正仿宋简体" w:cs="Times New Roman"/>
          <w:spacing w:val="12"/>
          <w:kern w:val="0"/>
          <w:sz w:val="32"/>
          <w:szCs w:val="32"/>
        </w:rPr>
        <w:t>4</w:t>
      </w:r>
      <w:r>
        <w:rPr>
          <w:rFonts w:hint="eastAsia" w:ascii="方正仿宋简体" w:hAnsi="宋体" w:eastAsia="方正仿宋简体" w:cs="宋体"/>
          <w:spacing w:val="12"/>
          <w:kern w:val="0"/>
          <w:sz w:val="32"/>
          <w:szCs w:val="32"/>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（三）调查取证权</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对生产经营单位安全生产非法、违法行为进行询问、收集证据、勘验、抽样取证、鉴定、登记等相关调查取证权利。</w:t>
      </w:r>
    </w:p>
    <w:p>
      <w:pPr>
        <w:snapToGrid w:val="0"/>
        <w:spacing w:line="580" w:lineRule="exact"/>
        <w:ind w:firstLine="516" w:firstLineChars="150"/>
        <w:jc w:val="left"/>
        <w:rPr>
          <w:rFonts w:ascii="方正仿宋简体" w:hAnsi="宋体" w:eastAsia="方正仿宋简体" w:cs="宋体"/>
          <w:spacing w:val="12"/>
          <w:kern w:val="0"/>
          <w:sz w:val="32"/>
          <w:szCs w:val="32"/>
        </w:rPr>
      </w:pPr>
      <w:r>
        <w:rPr>
          <w:rFonts w:hint="eastAsia" w:ascii="楷体_GB2312" w:hAnsi="宋体" w:eastAsia="楷体_GB2312" w:cs="宋体"/>
          <w:spacing w:val="12"/>
          <w:kern w:val="0"/>
          <w:sz w:val="32"/>
          <w:szCs w:val="32"/>
        </w:rPr>
        <w:t xml:space="preserve"> （四）行政处罚权</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以委托单位的名义，依照《安全生产违法行政行为行政处罚办法》等有关规定，对监管对象给予警告、通报批评、罚款、责令停止违法行为、没收违法所得、</w:t>
      </w:r>
      <w:r>
        <w:rPr>
          <w:rFonts w:hint="eastAsia" w:ascii="方正仿宋简体" w:hAnsi="方正仿宋简体" w:eastAsia="方正仿宋简体"/>
          <w:sz w:val="32"/>
          <w:szCs w:val="32"/>
        </w:rPr>
        <w:t>没收非法开采的煤炭产品、采掘设备</w:t>
      </w:r>
      <w:r>
        <w:rPr>
          <w:rFonts w:hint="eastAsia" w:ascii="宋体" w:hAnsi="宋体"/>
          <w:sz w:val="32"/>
          <w:szCs w:val="32"/>
        </w:rPr>
        <w:t>、</w:t>
      </w:r>
      <w:r>
        <w:rPr>
          <w:rFonts w:hint="eastAsia" w:ascii="方正仿宋简体" w:hAnsi="宋体" w:eastAsia="方正仿宋简体" w:cs="宋体"/>
          <w:spacing w:val="12"/>
          <w:kern w:val="0"/>
          <w:sz w:val="32"/>
          <w:szCs w:val="32"/>
        </w:rPr>
        <w:t>责令停产停业整顿、责令停产停业、责令停止建设、责令停止施工等行政处罚。</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（五）提请移送权</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受委托单位发现或者受理举报的非法、违法行为不属于受委托职权范围的，应当提请委托单位依法对非法、违法行为人作出行政处罚；属于其他部门职责范围的，应当及时报告并移送相关部门处理。</w:t>
      </w:r>
    </w:p>
    <w:p>
      <w:pPr>
        <w:snapToGrid w:val="0"/>
        <w:spacing w:line="580" w:lineRule="exact"/>
        <w:ind w:firstLine="516" w:firstLineChars="15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对涉及依法应当暂扣许可证件、降低资质等级、吊销许可证件、限制开展生产经营活动、责令关闭、限制从业、暂停或者撤销有关执业资格和岗位证书、关闭等的行政处罚，应提请委托单位依法作出处理决定。</w:t>
      </w:r>
    </w:p>
    <w:p>
      <w:pPr>
        <w:snapToGrid w:val="0"/>
        <w:spacing w:line="580" w:lineRule="exact"/>
        <w:ind w:firstLine="688" w:firstLineChars="200"/>
        <w:jc w:val="left"/>
        <w:rPr>
          <w:rFonts w:ascii="黑体" w:hAnsi="宋体" w:eastAsia="黑体" w:cs="宋体"/>
          <w:spacing w:val="12"/>
          <w:kern w:val="0"/>
          <w:sz w:val="32"/>
          <w:szCs w:val="32"/>
        </w:rPr>
      </w:pPr>
      <w:r>
        <w:rPr>
          <w:rFonts w:hint="eastAsia" w:ascii="黑体" w:hAnsi="宋体" w:eastAsia="黑体" w:cs="宋体"/>
          <w:spacing w:val="12"/>
          <w:kern w:val="0"/>
          <w:sz w:val="32"/>
          <w:szCs w:val="32"/>
        </w:rPr>
        <w:t>三、法律责任</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（一）委托单位责任</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1</w:t>
      </w:r>
      <w:r>
        <w:rPr>
          <w:rFonts w:hint="eastAsia" w:ascii="方正仿宋简体" w:hAnsi="宋体" w:eastAsia="方正仿宋简体" w:cs="宋体"/>
          <w:spacing w:val="12"/>
          <w:kern w:val="0"/>
          <w:sz w:val="32"/>
          <w:szCs w:val="32"/>
        </w:rPr>
        <w:t>、负责受委托单位因行使委托职能的具体行政行为而引起的听证、行政复议案件的答复和行政诉讼案件的应诉等工作。</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2</w:t>
      </w:r>
      <w:r>
        <w:rPr>
          <w:rFonts w:hint="eastAsia" w:ascii="方正仿宋简体" w:hAnsi="宋体" w:eastAsia="方正仿宋简体" w:cs="宋体"/>
          <w:spacing w:val="12"/>
          <w:kern w:val="0"/>
          <w:sz w:val="32"/>
          <w:szCs w:val="32"/>
        </w:rPr>
        <w:t>、对受委托单位在委托权限内以高青县应急管理局名义实施的行政执法行为进行监督和业务领导。</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3</w:t>
      </w:r>
      <w:r>
        <w:rPr>
          <w:rFonts w:hint="eastAsia" w:ascii="方正仿宋简体" w:hAnsi="宋体" w:eastAsia="方正仿宋简体" w:cs="宋体"/>
          <w:spacing w:val="12"/>
          <w:kern w:val="0"/>
          <w:sz w:val="32"/>
          <w:szCs w:val="32"/>
        </w:rPr>
        <w:t>、负责指导受委托单位安全生产行政执法人员的业务培训。</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4</w:t>
      </w:r>
      <w:r>
        <w:rPr>
          <w:rFonts w:hint="eastAsia" w:ascii="方正仿宋简体" w:hAnsi="宋体" w:eastAsia="方正仿宋简体" w:cs="宋体"/>
          <w:spacing w:val="12"/>
          <w:kern w:val="0"/>
          <w:sz w:val="32"/>
          <w:szCs w:val="32"/>
        </w:rPr>
        <w:t>、负责受委托单位实施安全生产行政处罚案件中立案、调查、处罚、结案环节的审核、审批。</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5</w:t>
      </w:r>
      <w:r>
        <w:rPr>
          <w:rFonts w:hint="eastAsia" w:ascii="方正仿宋简体" w:hAnsi="宋体" w:eastAsia="方正仿宋简体" w:cs="宋体"/>
          <w:spacing w:val="12"/>
          <w:kern w:val="0"/>
          <w:sz w:val="32"/>
          <w:szCs w:val="32"/>
        </w:rPr>
        <w:t>、对受委托单位在委托权限范围内实施的安全生产行政执法行为的后果承担法律责任。</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（二）受委托单位责任</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1</w:t>
      </w:r>
      <w:r>
        <w:rPr>
          <w:rFonts w:hint="eastAsia" w:ascii="方正仿宋简体" w:hAnsi="宋体" w:eastAsia="方正仿宋简体" w:cs="宋体"/>
          <w:spacing w:val="12"/>
          <w:kern w:val="0"/>
          <w:sz w:val="32"/>
          <w:szCs w:val="32"/>
        </w:rPr>
        <w:t>、在管辖区域内和委托权限内,负责安全生产行政执法工作。按照《中华人民共和国安全生产法》、《中华人民共和国行政处罚法》、 《中华人民共和国行政许可法》、《山东省安全生产条例》、《安全生产违法行为行政处罚办法》执行。</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2</w:t>
      </w:r>
      <w:r>
        <w:rPr>
          <w:rFonts w:hint="eastAsia" w:ascii="方正仿宋简体" w:hAnsi="宋体" w:eastAsia="方正仿宋简体" w:cs="宋体"/>
          <w:spacing w:val="12"/>
          <w:kern w:val="0"/>
          <w:sz w:val="32"/>
          <w:szCs w:val="32"/>
        </w:rPr>
        <w:t>、使用盖有委托单位印章的统一格式的执法文书，并严格按照规定制作相关法律文书。</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3</w:t>
      </w:r>
      <w:r>
        <w:rPr>
          <w:rFonts w:hint="eastAsia" w:ascii="方正仿宋简体" w:hAnsi="宋体" w:eastAsia="方正仿宋简体" w:cs="宋体"/>
          <w:spacing w:val="12"/>
          <w:kern w:val="0"/>
          <w:sz w:val="32"/>
          <w:szCs w:val="32"/>
        </w:rPr>
        <w:t>、受委托单位只能对安全生产行政处罚案件进行调查、取证、提出行政处罚意见，具体实施安全生产行政处罚行为时报经委托单位按程序进行。</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4</w:t>
      </w:r>
      <w:r>
        <w:rPr>
          <w:rFonts w:hint="eastAsia" w:ascii="方正仿宋简体" w:hAnsi="宋体" w:eastAsia="方正仿宋简体" w:cs="宋体"/>
          <w:spacing w:val="12"/>
          <w:kern w:val="0"/>
          <w:sz w:val="32"/>
          <w:szCs w:val="32"/>
        </w:rPr>
        <w:t>、接受委托单位的业务领导和监督，不得再委托其他任何组织实施安全生产行政执法。</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5</w:t>
      </w:r>
      <w:r>
        <w:rPr>
          <w:rFonts w:hint="eastAsia" w:ascii="方正仿宋简体" w:hAnsi="宋体" w:eastAsia="方正仿宋简体" w:cs="宋体"/>
          <w:spacing w:val="12"/>
          <w:kern w:val="0"/>
          <w:sz w:val="32"/>
          <w:szCs w:val="32"/>
        </w:rPr>
        <w:t>、建立安全生产监督检查和行政执法台账、档案。督促管辖区域内生</w:t>
      </w:r>
      <w:r>
        <w:rPr>
          <w:rFonts w:hint="eastAsia" w:ascii="方正仿宋简体" w:eastAsia="方正仿宋简体"/>
          <w:spacing w:val="12"/>
          <w:sz w:val="32"/>
          <w:szCs w:val="32"/>
        </w:rPr>
        <w:t>产经营单位按时录入和上传信息，抓好</w:t>
      </w:r>
      <w:r>
        <w:rPr>
          <w:rFonts w:hint="eastAsia" w:ascii="方正仿宋简体" w:hAnsi="宋体" w:eastAsia="方正仿宋简体" w:cs="宋体"/>
          <w:spacing w:val="12"/>
          <w:kern w:val="0"/>
          <w:sz w:val="32"/>
          <w:szCs w:val="32"/>
        </w:rPr>
        <w:t>委托单位</w:t>
      </w:r>
      <w:r>
        <w:rPr>
          <w:rFonts w:hint="eastAsia" w:ascii="方正仿宋简体" w:eastAsia="方正仿宋简体"/>
          <w:spacing w:val="12"/>
          <w:sz w:val="32"/>
          <w:szCs w:val="32"/>
        </w:rPr>
        <w:t>制定的相关制度落实。</w:t>
      </w:r>
    </w:p>
    <w:p>
      <w:pPr>
        <w:snapToGrid w:val="0"/>
        <w:spacing w:line="580" w:lineRule="exact"/>
        <w:ind w:firstLine="688" w:firstLineChars="200"/>
        <w:jc w:val="left"/>
        <w:rPr>
          <w:rFonts w:ascii="黑体" w:eastAsia="黑体"/>
          <w:spacing w:val="12"/>
          <w:sz w:val="32"/>
          <w:szCs w:val="32"/>
        </w:rPr>
      </w:pPr>
      <w:r>
        <w:rPr>
          <w:rFonts w:hint="eastAsia" w:ascii="黑体" w:eastAsia="黑体"/>
          <w:spacing w:val="12"/>
          <w:sz w:val="32"/>
          <w:szCs w:val="32"/>
        </w:rPr>
        <w:t>四、委托调整</w:t>
      </w: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（一）</w:t>
      </w:r>
      <w:r>
        <w:rPr>
          <w:rFonts w:hint="eastAsia" w:ascii="方正仿宋简体" w:hAnsi="宋体" w:eastAsia="方正仿宋简体" w:cs="宋体"/>
          <w:spacing w:val="12"/>
          <w:kern w:val="0"/>
          <w:sz w:val="32"/>
          <w:szCs w:val="32"/>
        </w:rPr>
        <w:t>委托单位</w:t>
      </w:r>
      <w:r>
        <w:rPr>
          <w:rFonts w:hint="eastAsia" w:ascii="方正仿宋简体" w:eastAsia="方正仿宋简体"/>
          <w:spacing w:val="12"/>
          <w:sz w:val="32"/>
          <w:szCs w:val="32"/>
        </w:rPr>
        <w:t>可根据法律法规和政策措施以及自身职能的调整变化，对委托的范围、方式以及有关管理办法适时作出调整。同时，定期对</w:t>
      </w:r>
      <w:r>
        <w:rPr>
          <w:rFonts w:hint="eastAsia" w:ascii="方正仿宋简体" w:hAnsi="宋体" w:eastAsia="方正仿宋简体" w:cs="宋体"/>
          <w:spacing w:val="12"/>
          <w:kern w:val="0"/>
          <w:sz w:val="32"/>
          <w:szCs w:val="32"/>
        </w:rPr>
        <w:t>受委托单位</w:t>
      </w:r>
      <w:r>
        <w:rPr>
          <w:rFonts w:hint="eastAsia" w:ascii="方正仿宋简体" w:eastAsia="方正仿宋简体"/>
          <w:spacing w:val="12"/>
          <w:sz w:val="32"/>
          <w:szCs w:val="32"/>
        </w:rPr>
        <w:t>开展安全生产行政执法情况进行通报，并列入年度目标管理责任制考核。</w:t>
      </w: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（二）</w:t>
      </w:r>
      <w:r>
        <w:rPr>
          <w:rFonts w:hint="eastAsia" w:ascii="方正仿宋简体" w:hAnsi="宋体" w:eastAsia="方正仿宋简体" w:cs="宋体"/>
          <w:spacing w:val="12"/>
          <w:kern w:val="0"/>
          <w:sz w:val="32"/>
          <w:szCs w:val="32"/>
        </w:rPr>
        <w:t>受委托单位</w:t>
      </w:r>
      <w:r>
        <w:rPr>
          <w:rFonts w:hint="eastAsia" w:ascii="方正仿宋简体" w:eastAsia="方正仿宋简体"/>
          <w:spacing w:val="12"/>
          <w:sz w:val="32"/>
          <w:szCs w:val="32"/>
        </w:rPr>
        <w:t>在行使委托职能过程中，如有违反有关规定的行为，</w:t>
      </w:r>
      <w:r>
        <w:rPr>
          <w:rFonts w:hint="eastAsia" w:ascii="方正仿宋简体" w:hAnsi="宋体" w:eastAsia="方正仿宋简体" w:cs="宋体"/>
          <w:spacing w:val="12"/>
          <w:kern w:val="0"/>
          <w:sz w:val="32"/>
          <w:szCs w:val="32"/>
        </w:rPr>
        <w:t>委托单位</w:t>
      </w:r>
      <w:r>
        <w:rPr>
          <w:rFonts w:hint="eastAsia" w:ascii="方正仿宋简体" w:eastAsia="方正仿宋简体"/>
          <w:spacing w:val="12"/>
          <w:sz w:val="32"/>
          <w:szCs w:val="32"/>
        </w:rPr>
        <w:t>可视其程度分别采取督促限期改正和撤销该行政行为等措施。</w:t>
      </w: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（三）</w:t>
      </w:r>
      <w:r>
        <w:rPr>
          <w:rFonts w:hint="eastAsia" w:ascii="方正仿宋简体" w:hAnsi="宋体" w:eastAsia="方正仿宋简体" w:cs="宋体"/>
          <w:spacing w:val="12"/>
          <w:kern w:val="0"/>
          <w:sz w:val="32"/>
          <w:szCs w:val="32"/>
        </w:rPr>
        <w:t>受委托单位</w:t>
      </w:r>
      <w:r>
        <w:rPr>
          <w:rFonts w:hint="eastAsia" w:ascii="方正仿宋简体" w:eastAsia="方正仿宋简体"/>
          <w:spacing w:val="12"/>
          <w:sz w:val="32"/>
          <w:szCs w:val="32"/>
        </w:rPr>
        <w:t>多次发生违规行为，经指出仍不改正的，</w:t>
      </w:r>
      <w:r>
        <w:rPr>
          <w:rFonts w:hint="eastAsia" w:ascii="方正仿宋简体" w:hAnsi="宋体" w:eastAsia="方正仿宋简体" w:cs="宋体"/>
          <w:spacing w:val="12"/>
          <w:kern w:val="0"/>
          <w:sz w:val="32"/>
          <w:szCs w:val="32"/>
        </w:rPr>
        <w:t>委托单位</w:t>
      </w:r>
      <w:r>
        <w:rPr>
          <w:rFonts w:hint="eastAsia" w:ascii="方正仿宋简体" w:eastAsia="方正仿宋简体"/>
          <w:spacing w:val="12"/>
          <w:sz w:val="32"/>
          <w:szCs w:val="32"/>
        </w:rPr>
        <w:t>有权暂时中止部分或全部委托职权，并提请有关部门对违法违规的相关人员给予行政处分，直至追究相应的法律责任。</w:t>
      </w: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本委托书一式三份，委托单位、受委托单位、高青县司法局各执一份。</w:t>
      </w:r>
    </w:p>
    <w:p>
      <w:pPr>
        <w:snapToGrid w:val="0"/>
        <w:spacing w:line="580" w:lineRule="exact"/>
        <w:ind w:firstLine="688" w:firstLineChars="200"/>
        <w:jc w:val="left"/>
        <w:rPr>
          <w:rFonts w:hint="eastAsia" w:ascii="方正仿宋简体" w:eastAsia="方正仿宋简体"/>
          <w:spacing w:val="12"/>
          <w:sz w:val="32"/>
          <w:szCs w:val="32"/>
        </w:rPr>
      </w:pPr>
    </w:p>
    <w:p>
      <w:pPr>
        <w:snapToGrid w:val="0"/>
        <w:spacing w:line="580" w:lineRule="exact"/>
        <w:ind w:firstLine="688" w:firstLineChars="200"/>
        <w:jc w:val="left"/>
        <w:rPr>
          <w:rFonts w:ascii="方正仿宋简体" w:eastAsia="方正仿宋简体"/>
          <w:spacing w:val="12"/>
          <w:sz w:val="32"/>
          <w:szCs w:val="32"/>
        </w:rPr>
      </w:pP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委托单位（印章）        受委托单位（印章）</w:t>
      </w:r>
    </w:p>
    <w:p>
      <w:pPr>
        <w:snapToGrid w:val="0"/>
        <w:spacing w:line="580" w:lineRule="exact"/>
        <w:ind w:firstLine="688" w:firstLineChars="200"/>
        <w:jc w:val="left"/>
        <w:rPr>
          <w:rFonts w:hint="eastAsia" w:ascii="方正仿宋简体" w:eastAsia="方正仿宋简体"/>
          <w:spacing w:val="12"/>
          <w:sz w:val="32"/>
          <w:szCs w:val="32"/>
        </w:rPr>
      </w:pPr>
    </w:p>
    <w:p>
      <w:pPr>
        <w:snapToGrid w:val="0"/>
        <w:spacing w:line="580" w:lineRule="exact"/>
        <w:ind w:firstLine="688" w:firstLineChars="200"/>
        <w:jc w:val="left"/>
        <w:rPr>
          <w:rFonts w:ascii="方正仿宋简体" w:eastAsia="方正仿宋简体"/>
          <w:spacing w:val="12"/>
          <w:sz w:val="32"/>
          <w:szCs w:val="32"/>
        </w:rPr>
      </w:pP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法定代表人：            法定代表人：</w:t>
      </w:r>
    </w:p>
    <w:p>
      <w:pPr>
        <w:snapToGrid w:val="0"/>
        <w:spacing w:line="580" w:lineRule="exact"/>
        <w:ind w:firstLine="688" w:firstLineChars="200"/>
        <w:jc w:val="left"/>
        <w:rPr>
          <w:rFonts w:ascii="方正仿宋简体" w:eastAsia="方正仿宋简体"/>
          <w:spacing w:val="12"/>
          <w:sz w:val="32"/>
          <w:szCs w:val="32"/>
        </w:rPr>
      </w:pPr>
    </w:p>
    <w:p>
      <w:pPr>
        <w:snapToGrid w:val="0"/>
        <w:spacing w:line="580" w:lineRule="exact"/>
        <w:ind w:firstLine="688" w:firstLineChars="200"/>
        <w:jc w:val="left"/>
        <w:rPr>
          <w:rFonts w:ascii="方正仿宋简体" w:eastAsia="方正仿宋简体"/>
          <w:spacing w:val="12"/>
          <w:sz w:val="32"/>
          <w:szCs w:val="32"/>
        </w:rPr>
      </w:pPr>
      <w:r>
        <w:rPr>
          <w:rFonts w:ascii="Times New Roman" w:hAnsi="Times New Roman" w:eastAsia="方正仿宋简体" w:cs="Times New Roman"/>
          <w:spacing w:val="12"/>
          <w:sz w:val="32"/>
          <w:szCs w:val="32"/>
        </w:rPr>
        <w:t>2022</w:t>
      </w:r>
      <w:r>
        <w:rPr>
          <w:rFonts w:hint="eastAsia" w:ascii="方正仿宋简体" w:eastAsia="方正仿宋简体"/>
          <w:spacing w:val="12"/>
          <w:sz w:val="32"/>
          <w:szCs w:val="32"/>
        </w:rPr>
        <w:t>年</w:t>
      </w:r>
      <w:r>
        <w:rPr>
          <w:rFonts w:hint="eastAsia" w:ascii="Times New Roman" w:hAnsi="Times New Roman" w:eastAsia="方正仿宋简体" w:cs="Times New Roman"/>
          <w:spacing w:val="12"/>
          <w:sz w:val="32"/>
          <w:szCs w:val="32"/>
        </w:rPr>
        <w:t>1</w:t>
      </w:r>
      <w:r>
        <w:rPr>
          <w:rFonts w:hint="eastAsia" w:ascii="方正仿宋简体" w:eastAsia="方正仿宋简体"/>
          <w:spacing w:val="12"/>
          <w:sz w:val="32"/>
          <w:szCs w:val="32"/>
        </w:rPr>
        <w:t>月</w:t>
      </w:r>
      <w:r>
        <w:rPr>
          <w:rFonts w:hint="eastAsia" w:ascii="Times New Roman" w:hAnsi="Times New Roman" w:eastAsia="方正仿宋简体" w:cs="Times New Roman"/>
          <w:spacing w:val="12"/>
          <w:sz w:val="32"/>
          <w:szCs w:val="32"/>
        </w:rPr>
        <w:t>1</w:t>
      </w:r>
      <w:r>
        <w:rPr>
          <w:rFonts w:hint="eastAsia" w:ascii="方正仿宋简体" w:eastAsia="方正仿宋简体"/>
          <w:spacing w:val="12"/>
          <w:sz w:val="32"/>
          <w:szCs w:val="32"/>
        </w:rPr>
        <w:t xml:space="preserve">日          </w:t>
      </w:r>
      <w:r>
        <w:rPr>
          <w:rFonts w:ascii="Times New Roman" w:hAnsi="Times New Roman" w:eastAsia="方正仿宋简体" w:cs="Times New Roman"/>
          <w:spacing w:val="12"/>
          <w:sz w:val="32"/>
          <w:szCs w:val="32"/>
        </w:rPr>
        <w:t>2022</w:t>
      </w:r>
      <w:r>
        <w:rPr>
          <w:rFonts w:hint="eastAsia" w:ascii="方正仿宋简体" w:eastAsia="方正仿宋简体"/>
          <w:spacing w:val="12"/>
          <w:sz w:val="32"/>
          <w:szCs w:val="32"/>
        </w:rPr>
        <w:t>年</w:t>
      </w:r>
      <w:r>
        <w:rPr>
          <w:rFonts w:hint="eastAsia" w:ascii="Times New Roman" w:hAnsi="Times New Roman" w:eastAsia="方正仿宋简体" w:cs="Times New Roman"/>
          <w:spacing w:val="12"/>
          <w:sz w:val="32"/>
          <w:szCs w:val="32"/>
        </w:rPr>
        <w:t>1</w:t>
      </w:r>
      <w:r>
        <w:rPr>
          <w:rFonts w:hint="eastAsia" w:ascii="方正仿宋简体" w:eastAsia="方正仿宋简体"/>
          <w:spacing w:val="12"/>
          <w:sz w:val="32"/>
          <w:szCs w:val="32"/>
        </w:rPr>
        <w:t>月</w:t>
      </w:r>
      <w:r>
        <w:rPr>
          <w:rFonts w:hint="eastAsia" w:ascii="Times New Roman" w:hAnsi="Times New Roman" w:eastAsia="方正仿宋简体" w:cs="Times New Roman"/>
          <w:spacing w:val="12"/>
          <w:sz w:val="32"/>
          <w:szCs w:val="32"/>
        </w:rPr>
        <w:t>1</w:t>
      </w:r>
      <w:r>
        <w:rPr>
          <w:rFonts w:hint="eastAsia" w:ascii="方正仿宋简体" w:eastAsia="方正仿宋简体"/>
          <w:spacing w:val="12"/>
          <w:sz w:val="32"/>
          <w:szCs w:val="32"/>
        </w:rPr>
        <w:t>日</w:t>
      </w:r>
    </w:p>
    <w:p>
      <w:pPr>
        <w:snapToGrid w:val="0"/>
        <w:spacing w:line="580" w:lineRule="exact"/>
        <w:ind w:firstLine="688" w:firstLineChars="200"/>
        <w:jc w:val="left"/>
        <w:rPr>
          <w:rFonts w:ascii="方正仿宋简体" w:eastAsia="方正仿宋简体"/>
          <w:spacing w:val="12"/>
          <w:sz w:val="32"/>
          <w:szCs w:val="32"/>
        </w:rPr>
      </w:pPr>
    </w:p>
    <w:sectPr>
      <w:footerReference r:id="rId3" w:type="default"/>
      <w:pgSz w:w="11906" w:h="16838"/>
      <w:pgMar w:top="2098" w:right="1418" w:bottom="129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857631"/>
      <w:docPartObj>
        <w:docPartGallery w:val="autotext"/>
      </w:docPartObj>
    </w:sdtPr>
    <w:sdtEndPr>
      <w:rPr>
        <w:rFonts w:ascii="Times New Roman" w:hAnsi="Times New Roman" w:cs="Times New Roman"/>
        <w:sz w:val="28"/>
        <w:szCs w:val="28"/>
      </w:rPr>
    </w:sdtEndPr>
    <w:sdtContent>
      <w:p>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5 -</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RjMGNiMmQzMDYxZmE3YTY4NDI1M2I1ODZkMzE3YzAifQ=="/>
  </w:docVars>
  <w:rsids>
    <w:rsidRoot w:val="00C562F6"/>
    <w:rsid w:val="00067C78"/>
    <w:rsid w:val="000F4F04"/>
    <w:rsid w:val="00121055"/>
    <w:rsid w:val="00151C0D"/>
    <w:rsid w:val="00190086"/>
    <w:rsid w:val="001C6862"/>
    <w:rsid w:val="001D4B71"/>
    <w:rsid w:val="001F623A"/>
    <w:rsid w:val="00221F1F"/>
    <w:rsid w:val="00250D3A"/>
    <w:rsid w:val="002806B1"/>
    <w:rsid w:val="002C6C41"/>
    <w:rsid w:val="00380B08"/>
    <w:rsid w:val="003E3ED3"/>
    <w:rsid w:val="004515E6"/>
    <w:rsid w:val="00491635"/>
    <w:rsid w:val="004E7591"/>
    <w:rsid w:val="004F631C"/>
    <w:rsid w:val="005159AF"/>
    <w:rsid w:val="00535CFC"/>
    <w:rsid w:val="00542F7D"/>
    <w:rsid w:val="00585543"/>
    <w:rsid w:val="00617FC0"/>
    <w:rsid w:val="00685108"/>
    <w:rsid w:val="006D5FED"/>
    <w:rsid w:val="00793427"/>
    <w:rsid w:val="007A7B05"/>
    <w:rsid w:val="00894E7B"/>
    <w:rsid w:val="008A6E90"/>
    <w:rsid w:val="008B140B"/>
    <w:rsid w:val="00937BCC"/>
    <w:rsid w:val="00947974"/>
    <w:rsid w:val="009660F3"/>
    <w:rsid w:val="00981A9A"/>
    <w:rsid w:val="009949F0"/>
    <w:rsid w:val="009B31BA"/>
    <w:rsid w:val="009B7D8B"/>
    <w:rsid w:val="009C6A83"/>
    <w:rsid w:val="009E1D28"/>
    <w:rsid w:val="009E4FAB"/>
    <w:rsid w:val="00A339B7"/>
    <w:rsid w:val="00A51DA1"/>
    <w:rsid w:val="00A6217D"/>
    <w:rsid w:val="00A96CCE"/>
    <w:rsid w:val="00AB2A5E"/>
    <w:rsid w:val="00B10D19"/>
    <w:rsid w:val="00B11049"/>
    <w:rsid w:val="00B30F3D"/>
    <w:rsid w:val="00B32C68"/>
    <w:rsid w:val="00BB462F"/>
    <w:rsid w:val="00BB738D"/>
    <w:rsid w:val="00C562F6"/>
    <w:rsid w:val="00DE1590"/>
    <w:rsid w:val="00E05BA9"/>
    <w:rsid w:val="00E20C17"/>
    <w:rsid w:val="00EC7D54"/>
    <w:rsid w:val="00ED3BA0"/>
    <w:rsid w:val="00EF6EAA"/>
    <w:rsid w:val="00F026F6"/>
    <w:rsid w:val="00F42539"/>
    <w:rsid w:val="00F778AA"/>
    <w:rsid w:val="00FD6F35"/>
    <w:rsid w:val="056464B3"/>
    <w:rsid w:val="2F84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5</Pages>
  <Words>2047</Words>
  <Characters>2053</Characters>
  <Lines>15</Lines>
  <Paragraphs>4</Paragraphs>
  <TotalTime>0</TotalTime>
  <ScaleCrop>false</ScaleCrop>
  <LinksUpToDate>false</LinksUpToDate>
  <CharactersWithSpaces>2086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2018-05-10T06:26:00Z</dcterms:created>
  <dc:creator>微软中国</dc:creator>
  <cp:lastModifiedBy>灯火阑珊</cp:lastModifiedBy>
  <cp:lastPrinted>2022-07-11T08:31:23Z</cp:lastPrinted>
  <dcterms:modified xsi:type="dcterms:W3CDTF">2022-07-11T08:32:00Z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9497FD2279F44046876609BC27E6E298</vt:lpwstr>
  </property>
</Properties>
</file>