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7FBA">
      <w:pPr>
        <w:jc w:val="center"/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高青县应急管理局行政检查结果公示（2024年12月）</w:t>
      </w:r>
    </w:p>
    <w:tbl>
      <w:tblPr>
        <w:tblStyle w:val="4"/>
        <w:tblW w:w="14190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03"/>
        <w:gridCol w:w="651"/>
        <w:gridCol w:w="1612"/>
        <w:gridCol w:w="1223"/>
        <w:gridCol w:w="571"/>
        <w:gridCol w:w="5469"/>
        <w:gridCol w:w="1118"/>
        <w:gridCol w:w="716"/>
        <w:gridCol w:w="1373"/>
      </w:tblGrid>
      <w:tr w14:paraId="6E0A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049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797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执法机关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672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执法类别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51A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执法决定书文号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F77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行政相对人名称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BF9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事项名称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6A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4"/>
                <w:szCs w:val="24"/>
                <w:lang w:val="en-US" w:eastAsia="zh-CN" w:bidi="ar"/>
              </w:rPr>
              <w:t>主要事实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C88C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393"/>
              </w:tabs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lang w:bidi="ar"/>
              </w:rPr>
              <w:t>执法依据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2A9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执法结论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4FF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执法日期</w:t>
            </w:r>
          </w:p>
        </w:tc>
      </w:tr>
      <w:tr w14:paraId="4657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508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9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E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A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(鲁淄高)应急检记〔2024〕274号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8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山东隆华新材料股份有限公司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9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A2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1、环氧乙烷储槽DCS设置上限储存温度高报2℃，高高报7℃，未按照储存温度上限0℃要求设置。</w:t>
            </w:r>
          </w:p>
          <w:p w14:paraId="04093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2、《生产安全事故应急预案》中胸外按压频率描述错误，每分钟80次。</w:t>
            </w:r>
          </w:p>
          <w:p w14:paraId="79862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3、环氧乙烷卸车处顶部鹤管法兰，一车间楼顶冷凝器法兰使用四氟垫片，未使用金属垫片。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F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E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2024.12.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0D0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3D3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3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A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2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(鲁淄高)应急检记〔2024〕275号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8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淄博和易精细化工有限公司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9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7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1、未提供每季度一次动火作业排查整治情况。</w:t>
            </w:r>
          </w:p>
          <w:p w14:paraId="33E8C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2、TO炉配电室地面塌陷。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7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1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E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2024.12.3</w:t>
            </w:r>
          </w:p>
        </w:tc>
      </w:tr>
      <w:tr w14:paraId="58E6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7EC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2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E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8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(鲁淄高)应急检记〔2024〕282号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0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山东兴鲁承宏新材料科技有限公司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F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C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1、企业《2024年安全目标责任书》中包含环保目标内容，安全目标责任书考核内容不全。</w:t>
            </w:r>
          </w:p>
          <w:p w14:paraId="1C328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2、环氧乙烷出料管线、丙烯球罐进出料管线支撑为硬支撑。</w:t>
            </w:r>
          </w:p>
          <w:p w14:paraId="7A402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3、环氧乙烷围堰排污口设置水封不起作用。</w:t>
            </w:r>
          </w:p>
          <w:p w14:paraId="17E76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4、丙烯球罐注水管蒸汽伴热铜管未做保温等能量隔离措施。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9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4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7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2024.12.16</w:t>
            </w:r>
          </w:p>
        </w:tc>
      </w:tr>
      <w:tr w14:paraId="0989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FA8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6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C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E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(鲁淄高)应急检记〔2024〕283号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7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山东汇龙化工科技有限公司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2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5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1、南侧罐区蒸汽管线保温不全。</w:t>
            </w:r>
          </w:p>
          <w:p w14:paraId="4F877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2、立式圆筒形钢储罐储罐基础未设置沉降观测点。</w:t>
            </w:r>
          </w:p>
          <w:p w14:paraId="780B6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3、东侧罐区管线穿防火堤处密实不严，不符合安全要求。</w:t>
            </w:r>
          </w:p>
          <w:p w14:paraId="3961F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4、打料泵处接地扁铁未做补偿，不符合安全要求。</w:t>
            </w:r>
          </w:p>
          <w:p w14:paraId="7CAC36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5、尾气净化塔循环版电动机联轴器防护罩防护不严密。</w:t>
            </w:r>
          </w:p>
          <w:p w14:paraId="73BB6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6、导热油炉处离心通风机电机连接处未使用防爆挠性管。</w:t>
            </w:r>
          </w:p>
          <w:p w14:paraId="5BA2B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7、导热油炉处天然气管线上方报警器未设置位号。</w:t>
            </w:r>
          </w:p>
          <w:p w14:paraId="38CCF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8、维修间切割机电机未设置转动方向。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0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5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A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2024.12.19</w:t>
            </w:r>
          </w:p>
        </w:tc>
      </w:tr>
      <w:tr w14:paraId="7C37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79D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8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0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2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(鲁淄高)应急责改〔2024〕272号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D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淄博悦诚石油销售有限公司花沟加油站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E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A346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1、已对安全管理制度审核审批人进行更新。</w:t>
            </w:r>
          </w:p>
          <w:p w14:paraId="2C9DD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2、现场处置演练评估人已按要求签字，并对相关责任人进行培训。</w:t>
            </w:r>
          </w:p>
          <w:p w14:paraId="6D3AB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3、已对配电室绝缘胶垫进行清理。</w:t>
            </w:r>
          </w:p>
          <w:p w14:paraId="44059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4、配电室已设置挡鼠板。</w:t>
            </w:r>
          </w:p>
          <w:p w14:paraId="78D25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5、加油站东侧灯光控制箱已设置跨接。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C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7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F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2024.12.2</w:t>
            </w:r>
          </w:p>
        </w:tc>
      </w:tr>
      <w:tr w14:paraId="6154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1FD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B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B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0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(鲁淄高)应急责改〔2024〕279号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淄博晨鑫化工有限公司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4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652A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1、污水处理区清水泵处法兰片未及时回收。</w:t>
            </w:r>
          </w:p>
          <w:p w14:paraId="0FC06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2、消防泵房门口盖板处F扳手用完未及时回收。</w:t>
            </w:r>
          </w:p>
          <w:p w14:paraId="1BFAB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3、通氯区碱液吸收塔入口流向标识褪色。</w:t>
            </w:r>
          </w:p>
          <w:p w14:paraId="36104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4、三氯化磷罐区4#成品罐液位远传下法兰片防喷溅脱落。</w:t>
            </w:r>
          </w:p>
          <w:p w14:paraId="67C84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5、三氯化磷罐区地磅房东侧消防沙池消防沙结块。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6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B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B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2024.12.11</w:t>
            </w:r>
          </w:p>
        </w:tc>
      </w:tr>
      <w:tr w14:paraId="487D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C0C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highlight w:val="yellow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9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1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2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(鲁淄高)应急责改〔2024〕280号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F0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山东澳帆新材料有限公司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5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67890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1、企业已对《2024年安全目标责任书》过程指标进行考核，并对相关责任人进行培训，确保按期进行考核工作。</w:t>
            </w:r>
          </w:p>
          <w:p w14:paraId="69C78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2、企业已对相关人员进培训，督促其严格执行《设备管线打开作业管理制度》。</w:t>
            </w:r>
          </w:p>
          <w:p w14:paraId="078C1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3、企业已在《高危作业场所管理制度》中添加对氟化工艺、氯化工艺装置限制人数要求。</w:t>
            </w:r>
          </w:p>
          <w:p w14:paraId="44A61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4、氯气计量槽安全阀与防爆膜之间放净阀门已加设盲板封堵。</w:t>
            </w:r>
          </w:p>
          <w:p w14:paraId="1CF93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5、已将化验室洗眼器防尘盖补全。</w:t>
            </w:r>
          </w:p>
          <w:p w14:paraId="0C86E7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6、已在油发电机组记录表中添加柴油箱液位项，并督促相关人员如实记录。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1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F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C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2024.12.11</w:t>
            </w:r>
          </w:p>
        </w:tc>
      </w:tr>
      <w:tr w14:paraId="2201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755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E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2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B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(鲁淄高)应急检查〔2024〕284号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2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山东科汇药业有限公司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C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D1AC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1、未对安全设备进行经常性维护保养（2024年12月20日检查当日室内固定动火点旁可燃气体检测报警器（乙炔）数值漂移，在005.4-006.2之间来回漂移）。</w:t>
            </w:r>
          </w:p>
          <w:p w14:paraId="2356E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2、1#配电室配电柜柜后未编号。</w:t>
            </w:r>
          </w:p>
          <w:p w14:paraId="65D99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3、1#配电室东侧进出墙管线未做封堵。</w:t>
            </w:r>
          </w:p>
          <w:p w14:paraId="50194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4、1#配电室AP-2配电柜内工作零线未做绝缘防护不符合安全要求。</w:t>
            </w:r>
          </w:p>
          <w:p w14:paraId="064BD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5、柴油发电机房接地扁铁离墙间距不符合要求（10mm-15mm）。</w:t>
            </w:r>
          </w:p>
          <w:p w14:paraId="3AB73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6、柴油发电机房XL-21动力柜底部未做防火封堵。</w:t>
            </w:r>
          </w:p>
          <w:p w14:paraId="1A497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7、甲类仓库防爆接线使用塑料封堵件不符合防爆要求。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B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F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7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2024.12.20</w:t>
            </w:r>
          </w:p>
        </w:tc>
      </w:tr>
      <w:tr w14:paraId="57A8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9C9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2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4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DA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（鲁淄高）应急检记〔2024〕277号</w:t>
            </w:r>
          </w:p>
          <w:p w14:paraId="59EA5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3F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淄博彩乐农业发展有限公司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0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86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1、《安全生产投入保障制度》中安全生产费用提取比例未按照在《企业安全生产费用提取和使用管理办法》（财资【2022】136号）规定进行修订。</w:t>
            </w:r>
          </w:p>
          <w:p w14:paraId="627567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2、北仓库西侧烟花爆竹堆垛倾倒。</w:t>
            </w:r>
          </w:p>
          <w:p w14:paraId="228E16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3、未提供安全生产责任险投保情况。</w:t>
            </w:r>
          </w:p>
          <w:p w14:paraId="444291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4、柴油发电机房配电箱进出线路孔未封堵。</w:t>
            </w:r>
          </w:p>
          <w:p w14:paraId="4E8867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5、柴油发电机房配电箱内电器开关标识不全。</w:t>
            </w:r>
          </w:p>
          <w:p w14:paraId="3B1FF1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6、仓库外侧大门维修后未及时恢复静电跨接。</w:t>
            </w:r>
          </w:p>
          <w:p w14:paraId="53E657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7、产品入库检验验收岗位操作规程未体现特殊情况处置内容。</w:t>
            </w:r>
          </w:p>
          <w:p w14:paraId="68484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8、仓库去严禁烟火警示标志褪色。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D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8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责令限期改正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9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2024.12.6</w:t>
            </w:r>
          </w:p>
        </w:tc>
      </w:tr>
      <w:tr w14:paraId="4F33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7D1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9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7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D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(鲁淄高)应急检记〔2024〕271号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B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山东飞源东泰高分子材料有限公司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2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0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1、企业未制定管线打开管理制度，并有效运行。</w:t>
            </w:r>
          </w:p>
          <w:p w14:paraId="31A01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2、氟化氢装卸车现场巡检人员未配戴便携式有毒气体报警器。</w:t>
            </w:r>
          </w:p>
          <w:p w14:paraId="24B0B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3、硫酸罐沉降监测点设置在地面上。</w:t>
            </w:r>
          </w:p>
          <w:p w14:paraId="12B9B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4、硫酸卸车泵围堰雨水阀未关闭。</w:t>
            </w:r>
          </w:p>
          <w:p w14:paraId="6A76D5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5、出线柜出线未设置线牌。</w:t>
            </w:r>
          </w:p>
          <w:p w14:paraId="6A5C0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6、液氨罐上部SIS切断阀手动执行机构应有防止误操作的措施。</w:t>
            </w:r>
          </w:p>
          <w:p w14:paraId="3B253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7、氟化氢装卸车平台压缩气吹扫管路未加设单向阀门。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6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3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D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2024.12.2</w:t>
            </w:r>
          </w:p>
        </w:tc>
      </w:tr>
      <w:tr w14:paraId="344C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3E3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11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D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1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6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(鲁淄高)应急检记〔2024〕281号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C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山东寿光鲁清石化物流有限公司第九十二加油站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F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8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1、隐患排查9.30日发现人员未签名。</w:t>
            </w:r>
          </w:p>
          <w:p w14:paraId="58EBE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2、停用发电机房停用配电箱未张贴停用标识。</w:t>
            </w:r>
          </w:p>
          <w:p w14:paraId="6818C3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3、三次油气回收设备压力表穿线管老化。</w:t>
            </w:r>
          </w:p>
          <w:p w14:paraId="4BA9D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4、室外照明停用灯具未拆除。</w:t>
            </w:r>
          </w:p>
          <w:p w14:paraId="73B12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5、加油员工工作、教育培训时间需穿防静电鞋。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9C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6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3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2024.12.12</w:t>
            </w:r>
          </w:p>
        </w:tc>
      </w:tr>
      <w:tr w14:paraId="4F1A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093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C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5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4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(鲁淄高)应急检记〔2024〕278号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B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山东华元新材料有限公司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F9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3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1、2024年安全教育培训计划未涵盖危险化学品内容培训。</w:t>
            </w:r>
          </w:p>
          <w:p w14:paraId="4BBB5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2、危险作业管理制度未明确现场负责人、监护人、作业人员安全职责。</w:t>
            </w:r>
          </w:p>
          <w:p w14:paraId="286F3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3、重大隐患排查整治检查频率不足（主要负责人至少每季度带队检查一次）。</w:t>
            </w:r>
          </w:p>
          <w:p w14:paraId="2E8E7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4、硼酸车间一楼吊装孔处，安全警示标志损坏。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8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B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7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2024.12.3</w:t>
            </w:r>
          </w:p>
        </w:tc>
      </w:tr>
    </w:tbl>
    <w:p w14:paraId="4AD633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22F0"/>
    <w:rsid w:val="014A1C78"/>
    <w:rsid w:val="0FFA3C1C"/>
    <w:rsid w:val="276C22F0"/>
    <w:rsid w:val="503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正文文本首行缩进 2 字符"/>
    <w:basedOn w:val="7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7">
    <w:name w:val="正文文本缩进 字符"/>
    <w:basedOn w:val="5"/>
    <w:link w:val="2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8">
    <w:name w:val="正文首行缩进 2 Char"/>
    <w:basedOn w:val="5"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2470</Words>
  <Characters>2697</Characters>
  <Lines>0</Lines>
  <Paragraphs>0</Paragraphs>
  <TotalTime>6</TotalTime>
  <ScaleCrop>false</ScaleCrop>
  <LinksUpToDate>false</LinksUpToDate>
  <CharactersWithSpaces>2697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2024-12-30T01:38:00Z</dcterms:created>
  <dc:creator>Administrator</dc:creator>
  <cp:lastModifiedBy>Administrator</cp:lastModifiedBy>
  <dcterms:modified xsi:type="dcterms:W3CDTF">2024-12-30T01:50:35Z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5C4B4BC46D5E481D802F80FE3115D92B_11</vt:lpwstr>
  </property>
  <property fmtid="{D5CDD505-2E9C-101B-9397-08002B2CF9AE}" pid="4" name="KSOTemplateDocerSaveRecord">
    <vt:lpwstr>eyJoZGlkIjoiZmY2MjE5MTk3ZjcxZTMyZTBiOWQzZTlmMDY3YWI3ZmIifQ==</vt:lpwstr>
  </property>
</Properties>
</file>