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D8" w:rsidRDefault="00095CD8">
      <w:pPr>
        <w:widowControl/>
        <w:spacing w:line="500" w:lineRule="atLeast"/>
        <w:rPr>
          <w:rFonts w:ascii="华文中宋" w:eastAsia="华文中宋" w:hAnsi="华文中宋" w:cs="宋体" w:hint="eastAsia"/>
          <w:b/>
          <w:color w:val="FF0000"/>
          <w:w w:val="42"/>
          <w:sz w:val="140"/>
          <w:szCs w:val="140"/>
        </w:rPr>
      </w:pPr>
    </w:p>
    <w:p w:rsidR="006A32E8" w:rsidRPr="006A32E8" w:rsidRDefault="006A32E8" w:rsidP="006A32E8">
      <w:pPr>
        <w:pStyle w:val="2"/>
        <w:ind w:firstLine="560"/>
      </w:pPr>
    </w:p>
    <w:p w:rsidR="00095CD8" w:rsidRDefault="00095CD8">
      <w:pPr>
        <w:widowControl/>
        <w:spacing w:line="500" w:lineRule="atLeast"/>
        <w:rPr>
          <w:rFonts w:ascii="Times New Roman" w:eastAsia="仿宋_GB2312" w:hAnsi="Times New Roman" w:cs="Times New Roman"/>
          <w:sz w:val="32"/>
          <w:szCs w:val="32"/>
        </w:rPr>
      </w:pPr>
    </w:p>
    <w:p w:rsidR="00095CD8" w:rsidRDefault="0081146B">
      <w:pPr>
        <w:widowControl/>
        <w:spacing w:line="50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高震办发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095CD8" w:rsidRDefault="00095CD8">
      <w:pPr>
        <w:pStyle w:val="ae"/>
        <w:spacing w:line="560" w:lineRule="exact"/>
        <w:rPr>
          <w:rFonts w:ascii="方正小标宋简体" w:hAnsi="方正小标宋简体" w:cs="方正小标宋简体"/>
          <w:szCs w:val="44"/>
        </w:rPr>
      </w:pPr>
      <w:bookmarkStart w:id="0" w:name="_GoBack"/>
      <w:bookmarkEnd w:id="0"/>
    </w:p>
    <w:p w:rsidR="00095CD8" w:rsidRDefault="00095CD8">
      <w:pPr>
        <w:pStyle w:val="ae"/>
        <w:spacing w:line="560" w:lineRule="exact"/>
        <w:outlineLvl w:val="9"/>
        <w:rPr>
          <w:rFonts w:ascii="方正小标宋简体" w:hAnsi="方正小标宋简体" w:cs="方正小标宋简体"/>
          <w:szCs w:val="44"/>
        </w:rPr>
      </w:pPr>
    </w:p>
    <w:p w:rsidR="00095CD8" w:rsidRDefault="0081146B">
      <w:pPr>
        <w:pStyle w:val="ae"/>
        <w:spacing w:line="560" w:lineRule="exact"/>
        <w:outlineLvl w:val="9"/>
        <w:rPr>
          <w:rFonts w:ascii="方正小标宋简体" w:hAnsi="方正小标宋简体" w:cs="方正小标宋简体"/>
          <w:szCs w:val="44"/>
        </w:rPr>
      </w:pPr>
      <w:r>
        <w:rPr>
          <w:rFonts w:ascii="方正小标宋简体" w:hAnsi="方正小标宋简体" w:cs="方正小标宋简体" w:hint="eastAsia"/>
          <w:szCs w:val="44"/>
        </w:rPr>
        <w:t>关于</w:t>
      </w:r>
      <w:r>
        <w:rPr>
          <w:rFonts w:ascii="方正小标宋简体" w:hAnsi="方正小标宋简体" w:cs="方正小标宋简体" w:hint="eastAsia"/>
          <w:szCs w:val="44"/>
        </w:rPr>
        <w:t>印发</w:t>
      </w:r>
      <w:r>
        <w:rPr>
          <w:rFonts w:ascii="方正小标宋简体" w:hAnsi="方正小标宋简体" w:cs="方正小标宋简体" w:hint="eastAsia"/>
          <w:szCs w:val="44"/>
        </w:rPr>
        <w:t>《</w:t>
      </w:r>
      <w:bookmarkStart w:id="1" w:name="bookmark7"/>
      <w:bookmarkStart w:id="2" w:name="bookmark6"/>
      <w:bookmarkStart w:id="3" w:name="bookmark8"/>
      <w:r>
        <w:rPr>
          <w:rFonts w:hint="eastAsia"/>
          <w:color w:val="000000"/>
        </w:rPr>
        <w:t>高青县</w:t>
      </w:r>
      <w:r>
        <w:rPr>
          <w:color w:val="000000"/>
        </w:rPr>
        <w:t>防震减灾事业发展</w:t>
      </w:r>
      <w:r>
        <w:rPr>
          <w:color w:val="000000"/>
        </w:rPr>
        <w:br/>
      </w:r>
      <w:r>
        <w:rPr>
          <w:color w:val="000000"/>
        </w:rPr>
        <w:t>第十四个五年规划</w:t>
      </w:r>
      <w:bookmarkEnd w:id="1"/>
      <w:bookmarkEnd w:id="2"/>
      <w:bookmarkEnd w:id="3"/>
      <w:r>
        <w:rPr>
          <w:rFonts w:ascii="方正小标宋简体" w:hAnsi="方正小标宋简体" w:cs="方正小标宋简体" w:hint="eastAsia"/>
          <w:szCs w:val="44"/>
        </w:rPr>
        <w:t>》</w:t>
      </w:r>
      <w:r>
        <w:rPr>
          <w:rFonts w:ascii="方正小标宋简体" w:hAnsi="方正小标宋简体" w:cs="方正小标宋简体" w:hint="eastAsia"/>
          <w:szCs w:val="44"/>
        </w:rPr>
        <w:t>的通知</w:t>
      </w:r>
    </w:p>
    <w:p w:rsidR="00095CD8" w:rsidRDefault="00095CD8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95CD8" w:rsidRDefault="0081146B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各镇人民政府、街道办事处，经济开发区管委会，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</w:rPr>
        <w:t>防震</w:t>
      </w:r>
      <w:r>
        <w:rPr>
          <w:rFonts w:ascii="仿宋_GB2312" w:eastAsia="仿宋_GB2312" w:hAnsi="仿宋_GB2312" w:cs="仿宋_GB2312" w:hint="eastAsia"/>
          <w:sz w:val="32"/>
          <w:szCs w:val="32"/>
        </w:rPr>
        <w:t>减灾委员会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成员单位：</w:t>
      </w:r>
    </w:p>
    <w:p w:rsidR="00095CD8" w:rsidRDefault="0081146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《高青县防震减灾事业发展第十四个五年规划》已经县防震减灾委员会办公室同意，现印发你们，请认真贯彻执行。</w:t>
      </w:r>
    </w:p>
    <w:p w:rsidR="00095CD8" w:rsidRDefault="00095CD8">
      <w:pPr>
        <w:pStyle w:val="2"/>
        <w:rPr>
          <w:rFonts w:ascii="仿宋_GB2312" w:hAnsi="仿宋_GB2312" w:cs="仿宋_GB2312"/>
          <w:sz w:val="32"/>
          <w:szCs w:val="32"/>
        </w:rPr>
      </w:pPr>
    </w:p>
    <w:p w:rsidR="00095CD8" w:rsidRDefault="00095CD8">
      <w:pPr>
        <w:pStyle w:val="2"/>
        <w:rPr>
          <w:rFonts w:ascii="仿宋" w:eastAsia="仿宋" w:hAnsi="仿宋" w:cs="仿宋"/>
          <w:sz w:val="32"/>
          <w:szCs w:val="32"/>
        </w:rPr>
      </w:pPr>
    </w:p>
    <w:p w:rsidR="00095CD8" w:rsidRDefault="0081146B">
      <w:pPr>
        <w:spacing w:line="560" w:lineRule="exact"/>
        <w:ind w:left="2800" w:hangingChars="875" w:hanging="280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高青县</w:t>
      </w:r>
      <w:r>
        <w:rPr>
          <w:rFonts w:ascii="仿宋_GB2312" w:eastAsia="仿宋_GB2312" w:hAnsi="仿宋_GB2312" w:cs="仿宋_GB2312" w:hint="eastAsia"/>
          <w:sz w:val="32"/>
          <w:szCs w:val="32"/>
        </w:rPr>
        <w:t>防震减灾委员会办公室</w:t>
      </w:r>
    </w:p>
    <w:p w:rsidR="00095CD8" w:rsidRDefault="0081146B">
      <w:pPr>
        <w:spacing w:line="560" w:lineRule="exact"/>
        <w:ind w:firstLineChars="1700" w:firstLine="54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</w:t>
      </w:r>
    </w:p>
    <w:p w:rsidR="00095CD8" w:rsidRDefault="00095CD8">
      <w:pPr>
        <w:spacing w:line="560" w:lineRule="exact"/>
        <w:rPr>
          <w:rFonts w:ascii="仿宋_GB2312" w:hAnsi="仿宋_GB2312" w:cs="仿宋_GB2312"/>
        </w:rPr>
      </w:pPr>
    </w:p>
    <w:p w:rsidR="00095CD8" w:rsidRDefault="0081146B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 w:type="page"/>
      </w:r>
    </w:p>
    <w:p w:rsidR="00095CD8" w:rsidRDefault="008114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高青县防震减灾事业发展</w:t>
      </w:r>
    </w:p>
    <w:p w:rsidR="00095CD8" w:rsidRDefault="0081146B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第十四个五年规划</w:t>
      </w:r>
    </w:p>
    <w:p w:rsidR="00095CD8" w:rsidRDefault="0081146B">
      <w:pPr>
        <w:spacing w:line="560" w:lineRule="exact"/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 xml:space="preserve"> </w:t>
      </w:r>
    </w:p>
    <w:p w:rsidR="00095CD8" w:rsidRDefault="0081146B" w:rsidP="006A32E8">
      <w:pPr>
        <w:snapToGrid w:val="0"/>
        <w:spacing w:beforeLines="50" w:before="156" w:afterLines="50" w:after="156" w:line="560" w:lineRule="exact"/>
        <w:ind w:firstLineChars="200" w:firstLine="640"/>
        <w:outlineLvl w:val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防震减灾是国家公共安全和自然灾害防治体系的重要组成部分，为深入贯彻落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平总书记关于防灾减灾救灾重要论述和防震减灾重要指示批示精神，推进我县新时代防震减灾事业高质量发展，全面提升地震灾害风险防治能力，根据《中华人民共和国防震减灾法》《山东省防震减灾条例》《山东省防震减灾事业发展第十四个五年规划》《淄博市防震减灾事业发展第十四个五年规划》等有关要求，结合我县实际，制定本规划。</w:t>
      </w:r>
    </w:p>
    <w:p w:rsidR="00095CD8" w:rsidRDefault="0081146B" w:rsidP="006A32E8">
      <w:pPr>
        <w:snapToGrid w:val="0"/>
        <w:spacing w:beforeLines="50" w:before="156" w:afterLines="50" w:after="156" w:line="560" w:lineRule="exact"/>
        <w:ind w:firstLineChars="200" w:firstLine="640"/>
        <w:outlineLvl w:val="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一、机构设置</w:t>
      </w:r>
    </w:p>
    <w:p w:rsidR="00095CD8" w:rsidRDefault="0081146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“十三五”期间，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全县地震监测预报、地震灾害预防、地震应急救援三大工作体系建设成</w:t>
      </w:r>
      <w:r>
        <w:rPr>
          <w:rFonts w:ascii="仿宋_GB2312" w:eastAsia="仿宋_GB2312" w:hAnsi="仿宋_GB2312" w:cs="仿宋_GB2312" w:hint="eastAsia"/>
          <w:sz w:val="32"/>
          <w:szCs w:val="32"/>
        </w:rPr>
        <w:t>效显著，防震减灾能力得到显著提升。</w:t>
      </w:r>
    </w:p>
    <w:p w:rsidR="00095CD8" w:rsidRDefault="0081146B">
      <w:pPr>
        <w:pStyle w:val="Bodytext1"/>
        <w:tabs>
          <w:tab w:val="left" w:pos="2260"/>
        </w:tabs>
        <w:spacing w:line="588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 w:eastAsia="zh-CN" w:bidi="ar-SA"/>
        </w:rPr>
        <w:t>（一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en-US" w:eastAsia="zh-CN" w:bidi="ar-SA"/>
        </w:rPr>
        <w:t>）地震观测台有效运行。加强对我县地震观测台站及前兆观测井的运行、维护和保养工作，确保有效运行。</w:t>
      </w:r>
    </w:p>
    <w:p w:rsidR="00095CD8" w:rsidRDefault="0081146B">
      <w:pPr>
        <w:pStyle w:val="Bodytext1"/>
        <w:tabs>
          <w:tab w:val="left" w:pos="2260"/>
        </w:tabs>
        <w:spacing w:line="58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 w:eastAsia="zh-CN" w:bidi="ar-SA"/>
        </w:rPr>
        <w:t>（二）地震灾害风险防御能力进一步增强。强化建设工程抗震设防管理，配合上级部门对全县重大建设项目开展地震安全性评价，新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建建</w:t>
      </w:r>
      <w:bookmarkStart w:id="4" w:name="bookmark10"/>
      <w:bookmarkEnd w:id="4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设工程按照不低于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 w:bidi="zh-CN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度进行抗震设防，其中学校、幼儿园、医院等人员密集场所的建设工程按照提高一档设计建设。实行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 w:bidi="zh-CN"/>
        </w:rPr>
        <w:t>“一窗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受理、一次办好”审批服务，服务效率进一步提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升。</w:t>
      </w:r>
    </w:p>
    <w:p w:rsidR="00095CD8" w:rsidRDefault="0081146B">
      <w:pPr>
        <w:pStyle w:val="Bodytext1"/>
        <w:tabs>
          <w:tab w:val="left" w:pos="2495"/>
        </w:tabs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5" w:name="bookmark11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bookmarkEnd w:id="5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三）地震应急处置保障能力得到显著提升。完成地震应急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管理体制改革，将地震应急指挥纳入淄博市应急指挥平台统一管理，科学、高效、协同的地震应急响应与处置体系初步建成。地震应急预案体系进一步完善，地震应急演练实现常态化、规范化。建成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应急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避难场所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处，地震应急处置保障体系建设成效明显。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6" w:name="bookmark12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bookmarkEnd w:id="6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四）防震减灾科普教育取得明显进展。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国家级地震科普示范学校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省级地震科普示范学校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所，地震科普教育阵地建设取得明显成效。创新科普教育方式，运用移动网络、数字广播等新媒体广泛传播防震减灾文化，在全国防灾减灾日等重要时段集中开展地震科普宣传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 w:bidi="zh-CN"/>
        </w:rPr>
        <w:t>“七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进”活动，全社会防震减灾意识和防震避震技能明显提升。</w:t>
      </w:r>
    </w:p>
    <w:p w:rsidR="00095CD8" w:rsidRDefault="0081146B">
      <w:pPr>
        <w:pStyle w:val="Bodytext1"/>
        <w:spacing w:line="58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十九届五中全会提出要加强国家安全体系和能力建设，地震安全是其中重要组成部分。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高青县隶属于山东省淄博市，位于鲁北平原南部，北依黄河，南靠小清河。地貌类型为黄河冲积平原，地势相对平坦。高青县区划场地位于华北断块区的冀东—渤海断块东南部，区域范围主要涉及鲁西断块、冀东—渤海断块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胶辽断块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及苏北—胶南断块等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个断块，还涉及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小部分徐淮断块、太行山隆起及燕山断块等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个断块，其中苏北—胶南断块属扬子断块，其他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均属于华北断块。</w:t>
      </w:r>
      <w:r>
        <w:rPr>
          <w:rFonts w:ascii="仿宋_GB2312" w:eastAsia="仿宋_GB2312" w:hAnsi="仿宋_GB2312" w:cs="仿宋_GB2312" w:hint="eastAsia"/>
          <w:sz w:val="32"/>
          <w:szCs w:val="32"/>
        </w:rPr>
        <w:t>据历史记载，淄博及周边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千米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范围内共发生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级以上地震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次，并且</w:t>
      </w:r>
      <w:r>
        <w:rPr>
          <w:rFonts w:ascii="仿宋_GB2312" w:eastAsia="仿宋_GB2312" w:hAnsi="仿宋_GB2312" w:cs="仿宋_GB2312" w:hint="eastAsia"/>
          <w:sz w:val="32"/>
          <w:szCs w:val="32"/>
        </w:rPr>
        <w:t>1829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日青州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级地震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en-U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en-US"/>
        </w:rPr>
        <w:t>1888</w:t>
      </w:r>
      <w:r>
        <w:rPr>
          <w:rFonts w:ascii="仿宋_GB2312" w:eastAsia="仿宋_GB2312" w:hAnsi="仿宋_GB2312" w:cs="仿宋_GB2312" w:hint="eastAsia"/>
          <w:sz w:val="32"/>
          <w:szCs w:val="32"/>
        </w:rPr>
        <w:t>年渤海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en-US"/>
        </w:rPr>
        <w:t>7.5</w:t>
      </w:r>
      <w:r>
        <w:rPr>
          <w:rFonts w:ascii="仿宋_GB2312" w:eastAsia="仿宋_GB2312" w:hAnsi="仿宋_GB2312" w:cs="仿宋_GB2312" w:hint="eastAsia"/>
          <w:sz w:val="32"/>
          <w:szCs w:val="32"/>
        </w:rPr>
        <w:t>级和</w:t>
      </w:r>
      <w:r>
        <w:rPr>
          <w:rFonts w:ascii="仿宋_GB2312" w:eastAsia="仿宋_GB2312" w:hAnsi="仿宋_GB2312" w:cs="仿宋_GB2312" w:hint="eastAsia"/>
          <w:sz w:val="32"/>
          <w:szCs w:val="32"/>
        </w:rPr>
        <w:t>1969</w:t>
      </w:r>
      <w:r>
        <w:rPr>
          <w:rFonts w:ascii="仿宋_GB2312" w:eastAsia="仿宋_GB2312" w:hAnsi="仿宋_GB2312" w:cs="仿宋_GB2312" w:hint="eastAsia"/>
          <w:sz w:val="32"/>
          <w:szCs w:val="32"/>
        </w:rPr>
        <w:t>年渤海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en-US"/>
        </w:rPr>
        <w:t>7.4</w:t>
      </w:r>
      <w:r>
        <w:rPr>
          <w:rFonts w:ascii="仿宋_GB2312" w:eastAsia="仿宋_GB2312" w:hAnsi="仿宋_GB2312" w:cs="仿宋_GB2312" w:hint="eastAsia"/>
          <w:sz w:val="32"/>
          <w:szCs w:val="32"/>
        </w:rPr>
        <w:t>级地震对淄博的影响烈度均达到了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Ⅵ</w:t>
      </w:r>
      <w:r>
        <w:rPr>
          <w:rFonts w:ascii="仿宋_GB2312" w:eastAsia="仿宋_GB2312" w:hAnsi="仿宋_GB2312" w:cs="仿宋_GB2312" w:hint="eastAsia"/>
          <w:sz w:val="32"/>
          <w:szCs w:val="32"/>
        </w:rPr>
        <w:t>度以上，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1668 </w:t>
      </w:r>
      <w:r>
        <w:rPr>
          <w:rFonts w:ascii="仿宋_GB2312" w:eastAsia="仿宋_GB2312" w:hAnsi="仿宋_GB2312" w:cs="仿宋_GB2312" w:hint="eastAsia"/>
          <w:sz w:val="32"/>
          <w:szCs w:val="32"/>
        </w:rPr>
        <w:t>年郊城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en-US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级地震对淄博的影响大部分地区烈度达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Ⅷ</w:t>
      </w:r>
      <w:r>
        <w:rPr>
          <w:rFonts w:ascii="仿宋_GB2312" w:eastAsia="仿宋_GB2312" w:hAnsi="仿宋_GB2312" w:cs="仿宋_GB2312" w:hint="eastAsia"/>
          <w:sz w:val="32"/>
          <w:szCs w:val="32"/>
        </w:rPr>
        <w:t>度，沂源高达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Ⅸ</w:t>
      </w:r>
      <w:r>
        <w:rPr>
          <w:rFonts w:ascii="仿宋_GB2312" w:eastAsia="仿宋_GB2312" w:hAnsi="仿宋_GB2312" w:cs="仿宋_GB2312" w:hint="eastAsia"/>
          <w:sz w:val="32"/>
          <w:szCs w:val="32"/>
        </w:rPr>
        <w:t>度，因此我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</w:rPr>
        <w:t>面临较为严峻的地震形势。</w:t>
      </w:r>
      <w:r>
        <w:rPr>
          <w:rFonts w:ascii="仿宋_GB2312" w:eastAsia="仿宋_GB2312" w:hAnsi="仿宋_GB2312" w:cs="仿宋_GB2312" w:hint="eastAsia"/>
          <w:sz w:val="32"/>
          <w:szCs w:val="32"/>
          <w:lang w:val="zh-CN" w:eastAsia="zh-CN" w:bidi="zh-CN"/>
        </w:rPr>
        <w:t>“十</w:t>
      </w:r>
      <w:r>
        <w:rPr>
          <w:rFonts w:ascii="仿宋_GB2312" w:eastAsia="仿宋_GB2312" w:hAnsi="仿宋_GB2312" w:cs="仿宋_GB2312" w:hint="eastAsia"/>
          <w:sz w:val="32"/>
          <w:szCs w:val="32"/>
        </w:rPr>
        <w:t>四五”时期是我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社会经济高质量发展的关键时期，重大基础设施建设将加速推进，人口、产业和财富将更加聚集，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全县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危化品企业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家，其中生产企业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家（全市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危化品企业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493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家，其中生产企业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252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家），占全市的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1/16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，潜在地震灾害风险高，防震减灾任务繁重。当前，全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防震减灾能力与经济社会发展还不相适应，仍存在一些薄弱环节：一是地震公共服务整体水平不高。地震监测预警信息化、智能化、标准化水平较低。二是地震灾害防治能力不足。城市部分老旧建（构）筑物不能满足抗震设防要求，农村民居抗震能力薄弱，全过程地震灾害风险防治体系尚未形成。三是地震应急救援能力不强。应急救援队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不足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，整体素质不高，缺乏应对大震大灾经验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应急避难场所功能不全，地震应急装备和物资储备不足。</w:t>
      </w:r>
      <w:r>
        <w:rPr>
          <w:rFonts w:ascii="仿宋_GB2312" w:eastAsia="仿宋_GB2312" w:hAnsi="仿宋_GB2312" w:cs="仿宋_GB2312" w:hint="eastAsia"/>
          <w:sz w:val="32"/>
          <w:szCs w:val="32"/>
        </w:rPr>
        <w:t>四是防震减灾科普教育基础不牢。地震科普教育场所建设投入不足，科教场所数量少、功能不全；科普宣传模式传统、单一，创新不够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95CD8" w:rsidRDefault="0081146B">
      <w:pPr>
        <w:pStyle w:val="Bodytext1"/>
        <w:numPr>
          <w:ilvl w:val="0"/>
          <w:numId w:val="1"/>
        </w:numPr>
        <w:spacing w:line="589" w:lineRule="exact"/>
        <w:ind w:firstLineChars="200" w:firstLine="640"/>
        <w:rPr>
          <w:rFonts w:ascii="黑体" w:eastAsia="黑体" w:hAnsi="黑体" w:cs="黑体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总体要求</w:t>
      </w:r>
    </w:p>
    <w:p w:rsidR="00095CD8" w:rsidRDefault="0081146B">
      <w:pPr>
        <w:pStyle w:val="Bodytext1"/>
        <w:spacing w:line="589" w:lineRule="exact"/>
        <w:ind w:firstLine="0"/>
        <w:rPr>
          <w:rFonts w:ascii="仿宋_GB2312" w:eastAsia="仿宋_GB2312" w:hAnsi="仿宋_GB2312" w:cs="仿宋_GB2312"/>
          <w:color w:val="C0000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color w:val="C00000"/>
          <w:sz w:val="32"/>
          <w:szCs w:val="32"/>
          <w:lang w:val="en-US" w:eastAsia="zh-CN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>（一）指导思想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以习近平新时代中国特色社会主义思想为指导，全面贯彻党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的十九大和十九届二中、三中、四中、五中全会精神，增强“四个意识”，坚定“四个自信”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决做到“两个维护”，坚持人民至上、生命至上，坚持以防为主、防抗救相结合，坚持常态救灾和非常态救灾相统一，强化综合减灾，坚决扛起防震减灾政治责任，大力推进新时代防震减灾治理体系和治理能力现代化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为建设高水平现代化强市提供坚实的地震安全保障。</w:t>
      </w:r>
    </w:p>
    <w:p w:rsidR="00095CD8" w:rsidRDefault="0081146B">
      <w:pPr>
        <w:pStyle w:val="Bodytext1"/>
        <w:tabs>
          <w:tab w:val="left" w:pos="2595"/>
        </w:tabs>
        <w:spacing w:line="24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bookmarkStart w:id="7" w:name="bookmark14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</w:t>
      </w:r>
      <w:bookmarkEnd w:id="7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二）工作原则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8" w:name="bookmark15"/>
      <w:bookmarkEnd w:id="8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坚持预防为主、综合减灾。科学认识和把握地震成灾规律，强化地震灾害风险防控，努力减少受灾范围和受灾程度，有序推进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/>
        </w:rPr>
        <w:t>“地下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搞清楚、地上建结实、公众弄明白”防治格局建设，确保综合减灾工作取得实效。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9" w:name="bookmark16"/>
      <w:bookmarkEnd w:id="9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问题导向、服务社会。从政府、社会和公众地震安全需求出发，聚焦防震减灾事业发展中的短板和弱项，推动地震基本业务高质量发展。加强与经济社会融合发展，增加公共服务产品供给，提升公共服务效率和质量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10" w:name="bookmark17"/>
      <w:bookmarkEnd w:id="10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坚持创新驱动、信息化引领。大力推进地震科技创新，加强科技成果转化与运用，将信息化作为推动防震减灾事业现代化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建设的重要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抓手，有效提高防震减灾科技支撑能力和信息化水平。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11" w:name="bookmark18"/>
      <w:bookmarkEnd w:id="11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坚持政府主导、社会参与。落实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/>
        </w:rPr>
        <w:t>“统一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领导、综合协调、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分类管理、分级负责、属地管理”的应急管理体制，推进地震安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全风险网格化管理，鼓励、支持、引导社会力量参与防震减灾事业。</w:t>
      </w:r>
    </w:p>
    <w:p w:rsidR="00095CD8" w:rsidRDefault="0081146B">
      <w:pPr>
        <w:pStyle w:val="Bodytext1"/>
        <w:tabs>
          <w:tab w:val="left" w:pos="2595"/>
        </w:tabs>
        <w:spacing w:after="100" w:line="589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bookmarkStart w:id="12" w:name="bookmark19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</w:t>
      </w:r>
      <w:bookmarkEnd w:id="12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三）发展目标</w:t>
      </w:r>
    </w:p>
    <w:p w:rsidR="00095CD8" w:rsidRDefault="0081146B">
      <w:pPr>
        <w:pStyle w:val="Bodytext1"/>
        <w:spacing w:line="585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 w:bidi="zh-CN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年，初步建成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 w:bidi="zh-CN"/>
        </w:rPr>
        <w:t>“监测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智能、防治精细、服务高效、科技先进、管理科学”的新时代防震减灾事业现代化体系，形成政府主导、军地配合、专群结合、社会参与的防震减灾工作新格局。</w:t>
      </w:r>
    </w:p>
    <w:p w:rsidR="00095CD8" w:rsidRDefault="0081146B">
      <w:pPr>
        <w:pStyle w:val="Bodytext1"/>
        <w:spacing w:line="585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13" w:name="bookmark20"/>
      <w:bookmarkEnd w:id="1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地震灾害风险防控力度进一步提高。加强地震灾害风险调查和隐患排查，全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重点地区、重点行业地震灾害风险调查和隐患排查全覆盖；加强建设工程地震安全评价管理，重大建设工程地震安全评价完成率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地震灾害影响明显减轻。</w:t>
      </w:r>
    </w:p>
    <w:p w:rsidR="00095CD8" w:rsidRDefault="0081146B">
      <w:pPr>
        <w:pStyle w:val="Bodytext1"/>
        <w:spacing w:line="585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14" w:name="bookmark22"/>
      <w:bookmarkEnd w:id="14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地震应急救援能力进一步提高。推进地震应急指挥中心建设和地震现场工作队伍建设；进一步规范地震应急救援专业队伍和志愿者培训，提高实战能力；县城常驻人口人均有效避难场所面积不低于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1.2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平方米，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级政府储备生活保障物资能够满足紧急转移安置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万人需求。</w:t>
      </w:r>
    </w:p>
    <w:p w:rsidR="00095CD8" w:rsidRDefault="0081146B">
      <w:pPr>
        <w:pStyle w:val="Bodytext1"/>
        <w:spacing w:line="585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15" w:name="bookmark23"/>
      <w:bookmarkEnd w:id="15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地震科普教育能力进一步提高。加强地震科普场馆建设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规划和建设地震科普教育基地、科普教育场馆和科普宣传展室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具备地震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科普功能的固定科普场所。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（二）筑牢地震灾害防御基础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摸清地震灾害风险底数。在全县范围开展地震灾害风险普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查，建立房屋设施地震灾害重点隐患调查数据库，运用地震小区划结果，加强区域重点隐伏断层的探测与研究，编制县（区）地震灾害风险区划图，为国土空间规划和重点工程规划选址提供科学依据。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建设工程抗震设防。建立完善建设工程抗震设防管理制度，落实抗震设防事前、事中、事后全过程监管机制，推进区域性地震安全评价。全面落实城乡新建建设工程不低于七度抗震设防要求，学校、幼儿园、医院等人员密集场所一律提高一档设防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继续开展地震易发区房屋设施加固，引导村民建设抗震民居。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强化地震科技创新与应用。加强与高校、科研院所在地球科学、地震工程、结构抗震等方面的合作交流，支持地震灾害风险评估防治新技术和新装备研发，推进地震科技成果转化应用，促进地震科技与防震减灾业务深度融合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（三）完善地震应急救援体系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善地震应急预案体系。按照纵向到底、横向到边、管理规范的要求，做好各级各类地震应急预案的制定和修订工作，将地震应急预案建设落实到学校、医院、社区、企业等基层单位。加强预案动态管理，健全预案备案、督查、评估和演练制度，不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增强预案的科学性、针对性和可操作性。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强化地震应急指挥协调。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依托“淄博市应急指挥平台”，建立军地配合、市县镇三级联动、上下贯通、运转高效的地震应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急指挥体系。明确各级各部门在地震应急工</w:t>
      </w:r>
      <w:r>
        <w:rPr>
          <w:rFonts w:ascii="仿宋_GB2312" w:eastAsia="仿宋_GB2312" w:hAnsi="仿宋_GB2312" w:cs="仿宋_GB2312" w:hint="eastAsia"/>
          <w:sz w:val="32"/>
          <w:szCs w:val="32"/>
        </w:rPr>
        <w:t>作中的职能，加强应急、消防、公安、电力、燃气、气象等信息资源整合，开展地震应急演练，切实提高应急响应、现场指挥、协调联动等方面的能力。</w:t>
      </w:r>
    </w:p>
    <w:p w:rsidR="00095CD8" w:rsidRDefault="0081146B">
      <w:pPr>
        <w:pStyle w:val="Bodytext1"/>
        <w:tabs>
          <w:tab w:val="left" w:pos="2495"/>
        </w:tabs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加强地震应急保障力量。建立形成以综合性应急救援队伍为中坚、行业救援队伍为骨干、志愿者队伍为补充的三位一体地震应急救援队伍体系。依托人武部、武警、消防应急救援力量，打造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支综合性应急救援队伍，补充地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震应急救援装备，开展地震应急救援培训，提升地震应急救援能力。加强应急避难场所和应急物资储备库管理，建立完善救灾物资生产、储备、调拨机制。</w:t>
      </w:r>
    </w:p>
    <w:p w:rsidR="00095CD8" w:rsidRDefault="0081146B">
      <w:pPr>
        <w:pStyle w:val="Bodytext1"/>
        <w:tabs>
          <w:tab w:val="left" w:pos="2260"/>
        </w:tabs>
        <w:spacing w:line="588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（四）全面提升社会公众防震减灾素质</w:t>
      </w:r>
    </w:p>
    <w:p w:rsidR="00095CD8" w:rsidRDefault="0081146B">
      <w:pPr>
        <w:pStyle w:val="Bodytext1"/>
        <w:tabs>
          <w:tab w:val="left" w:pos="2260"/>
        </w:tabs>
        <w:spacing w:line="58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宣传、教育、科技、科协、应急等部门要加强防震减灾科普宣传协同配合和资源共享，统筹做好防震减灾科普阵地建设。继续把防震减灾宣传教育工作列入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中小学教育之中，进一步形成学校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—家庭—社会相互配合、有机联动的防震减灾宣传教育环境和良好氛围。建立县级防震减灾科学传播师队伍，深入推进科普宣传“七进”活动，弘扬积极向上的防震减灾文化。定期组织学校、社区、企业、家庭等开展地震应急疏散演练，引导公众参与防震减灾活动，提升防范地震灾害风险意识，增强自救互救、应急避险能力。</w:t>
      </w:r>
    </w:p>
    <w:p w:rsidR="00095CD8" w:rsidRDefault="0081146B">
      <w:pPr>
        <w:pStyle w:val="Bodytext1"/>
        <w:tabs>
          <w:tab w:val="left" w:pos="2260"/>
        </w:tabs>
        <w:spacing w:line="588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四、重点项目</w:t>
      </w:r>
    </w:p>
    <w:p w:rsidR="00095CD8" w:rsidRDefault="0081146B">
      <w:pPr>
        <w:pStyle w:val="Bodytext1"/>
        <w:tabs>
          <w:tab w:val="left" w:pos="2260"/>
        </w:tabs>
        <w:spacing w:line="588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围绕地震监测预测预警、地震灾害风险防治、地震应急救援保障和地震科普宣传四个方面，规划建设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个项目，推进全县防震减灾事业高质量发展。</w:t>
      </w:r>
    </w:p>
    <w:p w:rsidR="00095CD8" w:rsidRDefault="0081146B">
      <w:pPr>
        <w:pStyle w:val="2"/>
        <w:rPr>
          <w:rFonts w:ascii="楷体_GB2312" w:eastAsia="楷体_GB2312" w:hAnsi="楷体_GB2312" w:cs="楷体_GB2312"/>
          <w:sz w:val="32"/>
          <w:szCs w:val="32"/>
          <w:lang w:bidi="zh-TW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zh-TW"/>
        </w:rPr>
        <w:t>（一）地震监测预测预警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实施地震监测能力提升工程。加强高青县地震观测台站及前兆观测井地震监测设施更新。配合市应急管理局对高青地震台进行标准化改造。</w:t>
      </w:r>
    </w:p>
    <w:p w:rsidR="00095CD8" w:rsidRDefault="0081146B">
      <w:pPr>
        <w:pStyle w:val="2"/>
        <w:rPr>
          <w:rFonts w:ascii="楷体_GB2312" w:eastAsia="楷体_GB2312" w:hAnsi="楷体_GB2312" w:cs="楷体_GB2312"/>
          <w:sz w:val="32"/>
          <w:szCs w:val="32"/>
          <w:lang w:bidi="zh-TW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zh-TW"/>
        </w:rPr>
        <w:t>（二）地震灾害风险防治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1.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开展地震灾害风险普查。在全县范围内开展地震灾害致灾调查与评估，编制全县地震构造图、断层分布图。通过资料分析、现场勘察、遥感解释等多种技术手段，开展地震灾害风险概率评估和确定性评估，编制全县地震灾害风险区划图和防治区划图。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2.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实施地震易发区房屋设施抗震加固。对地震风险较高，人口相对密集的重点区域开展房屋设施抗震性能评估，对不达标的学校、医院、生命线工程等建筑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实施抗震加固，建立房屋设施加固工作信息管理与服务平台。</w:t>
      </w:r>
    </w:p>
    <w:p w:rsidR="00095CD8" w:rsidRDefault="0081146B">
      <w:pPr>
        <w:pStyle w:val="2"/>
        <w:rPr>
          <w:rFonts w:ascii="楷体_GB2312" w:eastAsia="楷体_GB2312" w:hAnsi="楷体_GB2312" w:cs="楷体_GB2312"/>
          <w:sz w:val="32"/>
          <w:szCs w:val="32"/>
          <w:lang w:bidi="zh-TW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zh-TW"/>
        </w:rPr>
        <w:t>（三）地震应急救援保障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1.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建设地震应急避难场所。发改、自然资源、住建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、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应急等部门要结合高青县国土空间规划和广场、绿地、公园、学校、体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lastRenderedPageBreak/>
        <w:t>育场馆、人防工程等公共设施，因地制宜统筹搞好应急避难场所建设。高青县至少建成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1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处高标准应急避难场所。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2.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完善地震灾害应急物资储备。按照《高青县应急物资储备体系建设规划（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2020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—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2030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年）》的要求，根据职责分工和储备标准，依托各级消防救援队伍综合消防救援储备，重点储备工程抢险与专业处置、现场管理与保障、生命救援与生活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救助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3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大类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，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汽油发电机、救灾专用单（棉）帐篷、地震现场应急防护装备、生命探测仪、破拆工具等应急物资，确保满足全县地震灾害应急物资需要。</w:t>
      </w:r>
    </w:p>
    <w:p w:rsidR="00095CD8" w:rsidRDefault="0081146B">
      <w:pPr>
        <w:pStyle w:val="2"/>
        <w:rPr>
          <w:rFonts w:ascii="楷体_GB2312" w:eastAsia="楷体_GB2312" w:hAnsi="楷体_GB2312" w:cs="楷体_GB2312"/>
          <w:sz w:val="32"/>
          <w:szCs w:val="32"/>
          <w:lang w:bidi="zh-TW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bidi="zh-TW"/>
        </w:rPr>
        <w:t>（四）地震科普宣传</w:t>
      </w:r>
    </w:p>
    <w:p w:rsidR="00095CD8" w:rsidRDefault="0081146B">
      <w:pPr>
        <w:pStyle w:val="2"/>
        <w:rPr>
          <w:rFonts w:ascii="仿宋_GB2312" w:hAnsi="仿宋_GB2312" w:cs="仿宋_GB2312"/>
          <w:color w:val="auto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color w:val="auto"/>
          <w:sz w:val="32"/>
          <w:szCs w:val="32"/>
          <w:lang w:bidi="zh-TW"/>
        </w:rPr>
        <w:t>充分利用应急、教育、科协等部门现有场馆及地震台站等公共资源，增加完善防震减灾科普展项，建设具有区域特色和影响力的地震科普场馆。</w:t>
      </w:r>
    </w:p>
    <w:p w:rsidR="00095CD8" w:rsidRDefault="0081146B">
      <w:pPr>
        <w:pStyle w:val="2"/>
        <w:rPr>
          <w:rFonts w:ascii="黑体" w:eastAsia="黑体" w:hAnsi="黑体" w:cs="黑体"/>
          <w:sz w:val="32"/>
          <w:szCs w:val="32"/>
          <w:lang w:bidi="zh-TW"/>
        </w:rPr>
      </w:pPr>
      <w:r>
        <w:rPr>
          <w:rFonts w:ascii="黑体" w:eastAsia="黑体" w:hAnsi="黑体" w:cs="黑体" w:hint="eastAsia"/>
          <w:sz w:val="32"/>
          <w:szCs w:val="32"/>
          <w:lang w:bidi="zh-TW"/>
        </w:rPr>
        <w:t>五、措施保障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（一）加强组织领导。充分发挥县防震减灾领导小组综合协调作用，及时研究解决防震减灾工作中的突出问题，依法加强对防震减灾工作落实情况的监督检查。加强防震减灾组织机构和队伍建设，依法落实防震减灾职责，确保防震减灾工作有人管、有人干。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（二）健全投入机制。各级人民政府依法将防震减灾工作经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lastRenderedPageBreak/>
        <w:t>费列入各级财政预算，要优先安排防震减灾基础设施和重大项目建设，确保防震减灾工作顺利开展。充分发挥灾害民生综合保险效能，逐步形成财政支持下的多层次地震灾害风险分担机制。</w:t>
      </w:r>
    </w:p>
    <w:p w:rsidR="00095CD8" w:rsidRDefault="0081146B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  <w:r>
        <w:rPr>
          <w:rFonts w:ascii="仿宋_GB2312" w:hAnsi="仿宋_GB2312" w:cs="仿宋_GB2312" w:hint="eastAsia"/>
          <w:sz w:val="32"/>
          <w:szCs w:val="32"/>
          <w:lang w:bidi="zh-TW"/>
        </w:rPr>
        <w:t>（三）做好规划评估。明确规划实施的责任主体和相关制度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，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 xml:space="preserve"> 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制定规划</w:t>
      </w:r>
      <w:r>
        <w:rPr>
          <w:rFonts w:ascii="仿宋_GB2312" w:hAnsi="仿宋_GB2312" w:cs="仿宋_GB2312" w:hint="eastAsia"/>
          <w:sz w:val="32"/>
          <w:szCs w:val="32"/>
          <w:lang w:bidi="zh-TW"/>
        </w:rPr>
        <w:t>实施评价指标体系和标准，适时开展规划实施评估和监督检查，及时发现和解决规划实施中的问题，推动规划目标任务全面实现。</w:t>
      </w:r>
    </w:p>
    <w:p w:rsidR="00095CD8" w:rsidRDefault="00095CD8">
      <w:pPr>
        <w:pStyle w:val="2"/>
        <w:rPr>
          <w:rFonts w:ascii="仿宋_GB2312" w:hAnsi="仿宋_GB2312" w:cs="仿宋_GB2312"/>
          <w:sz w:val="32"/>
          <w:szCs w:val="32"/>
          <w:lang w:bidi="zh-TW"/>
        </w:rPr>
      </w:pPr>
    </w:p>
    <w:sectPr w:rsidR="00095CD8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6B" w:rsidRDefault="0081146B">
      <w:r>
        <w:separator/>
      </w:r>
    </w:p>
  </w:endnote>
  <w:endnote w:type="continuationSeparator" w:id="0">
    <w:p w:rsidR="0081146B" w:rsidRDefault="0081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CD8" w:rsidRDefault="00095C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6B" w:rsidRDefault="0081146B">
      <w:r>
        <w:separator/>
      </w:r>
    </w:p>
  </w:footnote>
  <w:footnote w:type="continuationSeparator" w:id="0">
    <w:p w:rsidR="0081146B" w:rsidRDefault="0081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72698"/>
    <w:multiLevelType w:val="singleLevel"/>
    <w:tmpl w:val="E8C7269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0D1A"/>
    <w:rsid w:val="00095CD8"/>
    <w:rsid w:val="0053544A"/>
    <w:rsid w:val="006A32E8"/>
    <w:rsid w:val="0081146B"/>
    <w:rsid w:val="01153976"/>
    <w:rsid w:val="039935A3"/>
    <w:rsid w:val="04FA408F"/>
    <w:rsid w:val="05835B24"/>
    <w:rsid w:val="065F3230"/>
    <w:rsid w:val="066F0C09"/>
    <w:rsid w:val="06B145F1"/>
    <w:rsid w:val="07314AF9"/>
    <w:rsid w:val="07985FFD"/>
    <w:rsid w:val="080978F4"/>
    <w:rsid w:val="09171B89"/>
    <w:rsid w:val="093134B1"/>
    <w:rsid w:val="09AD24C5"/>
    <w:rsid w:val="0B1C4845"/>
    <w:rsid w:val="0B5E37D3"/>
    <w:rsid w:val="0B740874"/>
    <w:rsid w:val="0D152528"/>
    <w:rsid w:val="0D7E5907"/>
    <w:rsid w:val="0E283016"/>
    <w:rsid w:val="0EAF291A"/>
    <w:rsid w:val="0FD65B5C"/>
    <w:rsid w:val="0FED7896"/>
    <w:rsid w:val="1045059C"/>
    <w:rsid w:val="10F43F58"/>
    <w:rsid w:val="11032B6B"/>
    <w:rsid w:val="124F2071"/>
    <w:rsid w:val="139C7AE3"/>
    <w:rsid w:val="15F15D68"/>
    <w:rsid w:val="1A252AFE"/>
    <w:rsid w:val="1B113AC0"/>
    <w:rsid w:val="1B2D2DB7"/>
    <w:rsid w:val="1BD53D45"/>
    <w:rsid w:val="1BF55E75"/>
    <w:rsid w:val="1CCC6EC5"/>
    <w:rsid w:val="1E2A1731"/>
    <w:rsid w:val="1FB4009B"/>
    <w:rsid w:val="20872041"/>
    <w:rsid w:val="20A211EC"/>
    <w:rsid w:val="20DA0AD6"/>
    <w:rsid w:val="21532F25"/>
    <w:rsid w:val="22E7471D"/>
    <w:rsid w:val="232B4B0C"/>
    <w:rsid w:val="232F75C5"/>
    <w:rsid w:val="23A1444A"/>
    <w:rsid w:val="241E7895"/>
    <w:rsid w:val="277D4218"/>
    <w:rsid w:val="28820046"/>
    <w:rsid w:val="29B1698C"/>
    <w:rsid w:val="2CA22A97"/>
    <w:rsid w:val="2DE72F1E"/>
    <w:rsid w:val="2F31551D"/>
    <w:rsid w:val="303D4F9E"/>
    <w:rsid w:val="308675B9"/>
    <w:rsid w:val="33B279E2"/>
    <w:rsid w:val="33DB5AB3"/>
    <w:rsid w:val="3456411E"/>
    <w:rsid w:val="34742EE4"/>
    <w:rsid w:val="348E5BE6"/>
    <w:rsid w:val="35146B00"/>
    <w:rsid w:val="36E004AB"/>
    <w:rsid w:val="37651A5E"/>
    <w:rsid w:val="38C47A08"/>
    <w:rsid w:val="39CC3879"/>
    <w:rsid w:val="3A9730A4"/>
    <w:rsid w:val="3B0868F8"/>
    <w:rsid w:val="3D2811D2"/>
    <w:rsid w:val="3D6E114A"/>
    <w:rsid w:val="3D895C66"/>
    <w:rsid w:val="3E0D1559"/>
    <w:rsid w:val="3F2E67A8"/>
    <w:rsid w:val="438409FB"/>
    <w:rsid w:val="439729AF"/>
    <w:rsid w:val="43B7179A"/>
    <w:rsid w:val="43FD2CE3"/>
    <w:rsid w:val="44B71BA6"/>
    <w:rsid w:val="460F323B"/>
    <w:rsid w:val="46B610CB"/>
    <w:rsid w:val="4925261A"/>
    <w:rsid w:val="49B21244"/>
    <w:rsid w:val="4A0D7035"/>
    <w:rsid w:val="4B7775FE"/>
    <w:rsid w:val="4D092E91"/>
    <w:rsid w:val="4E1B2300"/>
    <w:rsid w:val="4FB449AB"/>
    <w:rsid w:val="4FC81B30"/>
    <w:rsid w:val="55047A63"/>
    <w:rsid w:val="56C6007E"/>
    <w:rsid w:val="579457BB"/>
    <w:rsid w:val="585F11E2"/>
    <w:rsid w:val="59382E61"/>
    <w:rsid w:val="5BDF0891"/>
    <w:rsid w:val="5D5F1507"/>
    <w:rsid w:val="5DE62E47"/>
    <w:rsid w:val="5E866728"/>
    <w:rsid w:val="5EA766D3"/>
    <w:rsid w:val="610F1E43"/>
    <w:rsid w:val="61C969B3"/>
    <w:rsid w:val="61CF7279"/>
    <w:rsid w:val="628B6B41"/>
    <w:rsid w:val="654E1570"/>
    <w:rsid w:val="65AA7626"/>
    <w:rsid w:val="660472AB"/>
    <w:rsid w:val="66AA0A2C"/>
    <w:rsid w:val="67611902"/>
    <w:rsid w:val="68950223"/>
    <w:rsid w:val="69342C8D"/>
    <w:rsid w:val="695C04C9"/>
    <w:rsid w:val="69E82E7D"/>
    <w:rsid w:val="6A52111C"/>
    <w:rsid w:val="6A640D1A"/>
    <w:rsid w:val="6BE42F2D"/>
    <w:rsid w:val="6C914D8A"/>
    <w:rsid w:val="6DCB4853"/>
    <w:rsid w:val="7261044B"/>
    <w:rsid w:val="72CE2247"/>
    <w:rsid w:val="733A0EAA"/>
    <w:rsid w:val="735C7336"/>
    <w:rsid w:val="736E2B01"/>
    <w:rsid w:val="740D08B4"/>
    <w:rsid w:val="747C3F0A"/>
    <w:rsid w:val="758F7D01"/>
    <w:rsid w:val="76327FD2"/>
    <w:rsid w:val="763A17BE"/>
    <w:rsid w:val="763D6852"/>
    <w:rsid w:val="76557C53"/>
    <w:rsid w:val="76E725F8"/>
    <w:rsid w:val="77F330FB"/>
    <w:rsid w:val="785B2ED9"/>
    <w:rsid w:val="7A1F7CFA"/>
    <w:rsid w:val="7C2D01B5"/>
    <w:rsid w:val="7CFE1A63"/>
    <w:rsid w:val="7DE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tabs>
        <w:tab w:val="left" w:pos="2250"/>
      </w:tabs>
      <w:ind w:firstLineChars="200" w:firstLine="640"/>
    </w:pPr>
    <w:rPr>
      <w:rFonts w:eastAsia="仿宋_GB2312"/>
      <w:color w:val="000000"/>
    </w:rPr>
  </w:style>
  <w:style w:type="paragraph" w:styleId="a3">
    <w:name w:val="Body Text Indent"/>
    <w:basedOn w:val="a"/>
    <w:next w:val="a4"/>
    <w:qFormat/>
    <w:pPr>
      <w:ind w:firstLine="555"/>
    </w:pPr>
    <w:rPr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qFormat/>
  </w:style>
  <w:style w:type="character" w:styleId="ab">
    <w:name w:val="FollowedHyperlink"/>
    <w:basedOn w:val="a0"/>
    <w:qFormat/>
    <w:rPr>
      <w:color w:val="333333"/>
      <w:u w:val="none"/>
    </w:rPr>
  </w:style>
  <w:style w:type="character" w:styleId="ac">
    <w:name w:val="Emphasis"/>
    <w:basedOn w:val="a0"/>
    <w:qFormat/>
  </w:style>
  <w:style w:type="character" w:styleId="ad">
    <w:name w:val="Hyperlink"/>
    <w:basedOn w:val="a0"/>
    <w:qFormat/>
    <w:rPr>
      <w:color w:val="333333"/>
      <w:u w:val="none"/>
    </w:rPr>
  </w:style>
  <w:style w:type="paragraph" w:customStyle="1" w:styleId="ae">
    <w:name w:val="大标题"/>
    <w:basedOn w:val="af"/>
    <w:next w:val="a"/>
    <w:qFormat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f">
    <w:name w:val="公文主体"/>
    <w:basedOn w:val="a"/>
    <w:qFormat/>
    <w:pPr>
      <w:spacing w:line="580" w:lineRule="exact"/>
      <w:ind w:firstLineChars="200" w:firstLine="200"/>
    </w:pPr>
    <w:rPr>
      <w:rFonts w:eastAsia="仿宋"/>
      <w:kern w:val="0"/>
      <w:sz w:val="32"/>
    </w:rPr>
  </w:style>
  <w:style w:type="character" w:customStyle="1" w:styleId="Char">
    <w:name w:val="二级标题 Char"/>
    <w:link w:val="af0"/>
    <w:qFormat/>
    <w:locked/>
    <w:rPr>
      <w:rFonts w:eastAsia="楷体_GB2312"/>
      <w:szCs w:val="32"/>
    </w:rPr>
  </w:style>
  <w:style w:type="paragraph" w:customStyle="1" w:styleId="af0">
    <w:name w:val="二级标题"/>
    <w:basedOn w:val="af"/>
    <w:next w:val="af"/>
    <w:link w:val="Char"/>
    <w:qFormat/>
    <w:pPr>
      <w:outlineLvl w:val="3"/>
    </w:pPr>
    <w:rPr>
      <w:rFonts w:eastAsia="楷体_GB2312"/>
      <w:szCs w:val="32"/>
    </w:rPr>
  </w:style>
  <w:style w:type="paragraph" w:customStyle="1" w:styleId="af1">
    <w:name w:val="表格"/>
    <w:basedOn w:val="af"/>
    <w:next w:val="af"/>
    <w:qFormat/>
    <w:pPr>
      <w:spacing w:line="440" w:lineRule="exact"/>
      <w:ind w:firstLineChars="0" w:firstLine="0"/>
      <w:jc w:val="center"/>
    </w:pPr>
    <w:rPr>
      <w:rFonts w:eastAsia="宋体"/>
      <w:sz w:val="28"/>
    </w:rPr>
  </w:style>
  <w:style w:type="paragraph" w:customStyle="1" w:styleId="af2">
    <w:name w:val="一级标题"/>
    <w:basedOn w:val="af"/>
    <w:next w:val="af"/>
    <w:qFormat/>
    <w:pPr>
      <w:outlineLvl w:val="2"/>
    </w:pPr>
    <w:rPr>
      <w:rFonts w:eastAsia="黑体"/>
      <w:szCs w:val="32"/>
    </w:rPr>
  </w:style>
  <w:style w:type="paragraph" w:customStyle="1" w:styleId="Heading21">
    <w:name w:val="Heading #2|1"/>
    <w:basedOn w:val="a"/>
    <w:qFormat/>
    <w:pPr>
      <w:spacing w:after="540" w:line="582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tabs>
        <w:tab w:val="left" w:pos="2250"/>
      </w:tabs>
      <w:ind w:firstLineChars="200" w:firstLine="640"/>
    </w:pPr>
    <w:rPr>
      <w:rFonts w:eastAsia="仿宋_GB2312"/>
      <w:color w:val="000000"/>
    </w:rPr>
  </w:style>
  <w:style w:type="paragraph" w:styleId="a3">
    <w:name w:val="Body Text Indent"/>
    <w:basedOn w:val="a"/>
    <w:next w:val="a4"/>
    <w:qFormat/>
    <w:pPr>
      <w:ind w:firstLine="555"/>
    </w:pPr>
    <w:rPr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qFormat/>
  </w:style>
  <w:style w:type="character" w:styleId="ab">
    <w:name w:val="FollowedHyperlink"/>
    <w:basedOn w:val="a0"/>
    <w:qFormat/>
    <w:rPr>
      <w:color w:val="333333"/>
      <w:u w:val="none"/>
    </w:rPr>
  </w:style>
  <w:style w:type="character" w:styleId="ac">
    <w:name w:val="Emphasis"/>
    <w:basedOn w:val="a0"/>
    <w:qFormat/>
  </w:style>
  <w:style w:type="character" w:styleId="ad">
    <w:name w:val="Hyperlink"/>
    <w:basedOn w:val="a0"/>
    <w:qFormat/>
    <w:rPr>
      <w:color w:val="333333"/>
      <w:u w:val="none"/>
    </w:rPr>
  </w:style>
  <w:style w:type="paragraph" w:customStyle="1" w:styleId="ae">
    <w:name w:val="大标题"/>
    <w:basedOn w:val="af"/>
    <w:next w:val="a"/>
    <w:qFormat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f">
    <w:name w:val="公文主体"/>
    <w:basedOn w:val="a"/>
    <w:qFormat/>
    <w:pPr>
      <w:spacing w:line="580" w:lineRule="exact"/>
      <w:ind w:firstLineChars="200" w:firstLine="200"/>
    </w:pPr>
    <w:rPr>
      <w:rFonts w:eastAsia="仿宋"/>
      <w:kern w:val="0"/>
      <w:sz w:val="32"/>
    </w:rPr>
  </w:style>
  <w:style w:type="character" w:customStyle="1" w:styleId="Char">
    <w:name w:val="二级标题 Char"/>
    <w:link w:val="af0"/>
    <w:qFormat/>
    <w:locked/>
    <w:rPr>
      <w:rFonts w:eastAsia="楷体_GB2312"/>
      <w:szCs w:val="32"/>
    </w:rPr>
  </w:style>
  <w:style w:type="paragraph" w:customStyle="1" w:styleId="af0">
    <w:name w:val="二级标题"/>
    <w:basedOn w:val="af"/>
    <w:next w:val="af"/>
    <w:link w:val="Char"/>
    <w:qFormat/>
    <w:pPr>
      <w:outlineLvl w:val="3"/>
    </w:pPr>
    <w:rPr>
      <w:rFonts w:eastAsia="楷体_GB2312"/>
      <w:szCs w:val="32"/>
    </w:rPr>
  </w:style>
  <w:style w:type="paragraph" w:customStyle="1" w:styleId="af1">
    <w:name w:val="表格"/>
    <w:basedOn w:val="af"/>
    <w:next w:val="af"/>
    <w:qFormat/>
    <w:pPr>
      <w:spacing w:line="440" w:lineRule="exact"/>
      <w:ind w:firstLineChars="0" w:firstLine="0"/>
      <w:jc w:val="center"/>
    </w:pPr>
    <w:rPr>
      <w:rFonts w:eastAsia="宋体"/>
      <w:sz w:val="28"/>
    </w:rPr>
  </w:style>
  <w:style w:type="paragraph" w:customStyle="1" w:styleId="af2">
    <w:name w:val="一级标题"/>
    <w:basedOn w:val="af"/>
    <w:next w:val="af"/>
    <w:qFormat/>
    <w:pPr>
      <w:outlineLvl w:val="2"/>
    </w:pPr>
    <w:rPr>
      <w:rFonts w:eastAsia="黑体"/>
      <w:szCs w:val="32"/>
    </w:rPr>
  </w:style>
  <w:style w:type="paragraph" w:customStyle="1" w:styleId="Heading21">
    <w:name w:val="Heading #2|1"/>
    <w:basedOn w:val="a"/>
    <w:qFormat/>
    <w:pPr>
      <w:spacing w:after="540" w:line="582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720</Words>
  <Characters>4109</Characters>
  <Application>Microsoft Office Word</Application>
  <DocSecurity>0</DocSecurity>
  <Lines>34</Lines>
  <Paragraphs>9</Paragraphs>
  <ScaleCrop>false</ScaleCrop>
  <Company>gq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大道至简</dc:creator>
  <cp:lastModifiedBy>lb</cp:lastModifiedBy>
  <cp:revision>2</cp:revision>
  <cp:lastPrinted>2020-09-23T03:07:00Z</cp:lastPrinted>
  <dcterms:created xsi:type="dcterms:W3CDTF">2020-09-08T14:12:00Z</dcterms:created>
  <dcterms:modified xsi:type="dcterms:W3CDTF">2022-01-18T02:17:00Z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33A3AB96E40643AF84D40DFF6A7A576B</vt:lpwstr>
  </property>
</Properties>
</file>