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3AACB">
      <w:pPr>
        <w:spacing w:line="600" w:lineRule="exact"/>
        <w:ind w:firstLine="0"/>
        <w:jc w:val="center"/>
        <w:rPr>
          <w:rFonts w:hint="eastAsia" w:eastAsia="方正小标宋简体"/>
          <w:color w:val="auto"/>
          <w:kern w:val="0"/>
          <w:sz w:val="44"/>
          <w:szCs w:val="44"/>
        </w:rPr>
      </w:pPr>
      <w:r>
        <w:rPr>
          <w:rFonts w:hint="eastAsia" w:eastAsia="方正小标宋简体"/>
          <w:color w:val="auto"/>
          <w:kern w:val="0"/>
          <w:sz w:val="44"/>
          <w:szCs w:val="44"/>
        </w:rPr>
        <w:t>高青县</w:t>
      </w:r>
      <w:r>
        <w:rPr>
          <w:rFonts w:hint="eastAsia" w:eastAsia="方正小标宋简体"/>
          <w:color w:val="auto"/>
          <w:kern w:val="0"/>
          <w:sz w:val="44"/>
          <w:szCs w:val="44"/>
          <w:lang w:eastAsia="zh-CN"/>
        </w:rPr>
        <w:t>应急管理</w:t>
      </w:r>
      <w:r>
        <w:rPr>
          <w:rFonts w:hint="eastAsia" w:eastAsia="方正小标宋简体"/>
          <w:color w:val="auto"/>
          <w:kern w:val="0"/>
          <w:sz w:val="44"/>
          <w:szCs w:val="44"/>
        </w:rPr>
        <w:t>局</w:t>
      </w:r>
    </w:p>
    <w:p w14:paraId="0C423D50">
      <w:pPr>
        <w:spacing w:line="600" w:lineRule="exact"/>
        <w:ind w:firstLine="0"/>
        <w:jc w:val="center"/>
        <w:rPr>
          <w:rFonts w:hint="eastAsia" w:eastAsia="方正小标宋简体"/>
          <w:color w:val="auto"/>
          <w:kern w:val="0"/>
          <w:sz w:val="44"/>
          <w:szCs w:val="44"/>
        </w:rPr>
      </w:pPr>
      <w:r>
        <w:rPr>
          <w:rFonts w:hint="eastAsia" w:eastAsia="方正小标宋简体"/>
          <w:color w:val="auto"/>
          <w:kern w:val="0"/>
          <w:sz w:val="44"/>
          <w:szCs w:val="44"/>
        </w:rPr>
        <w:t>202</w:t>
      </w:r>
      <w:r>
        <w:rPr>
          <w:rFonts w:hint="eastAsia" w:eastAsia="方正小标宋简体"/>
          <w:color w:val="auto"/>
          <w:kern w:val="0"/>
          <w:sz w:val="44"/>
          <w:szCs w:val="44"/>
          <w:lang w:val="en-US" w:eastAsia="zh-CN"/>
        </w:rPr>
        <w:t>5</w:t>
      </w:r>
      <w:r>
        <w:rPr>
          <w:rFonts w:hint="eastAsia" w:eastAsia="方正小标宋简体"/>
          <w:color w:val="auto"/>
          <w:kern w:val="0"/>
          <w:sz w:val="44"/>
          <w:szCs w:val="44"/>
        </w:rPr>
        <w:t>年政府信息公开工作年度报告</w:t>
      </w:r>
    </w:p>
    <w:p w14:paraId="2106EA11">
      <w:pPr>
        <w:spacing w:line="600" w:lineRule="exact"/>
        <w:ind w:firstLine="0"/>
        <w:jc w:val="center"/>
        <w:rPr>
          <w:rFonts w:hint="eastAsia" w:eastAsia="方正小标宋简体"/>
          <w:color w:val="auto"/>
          <w:kern w:val="0"/>
          <w:sz w:val="44"/>
          <w:szCs w:val="44"/>
        </w:rPr>
      </w:pPr>
    </w:p>
    <w:p w14:paraId="7A243BB8">
      <w:pPr>
        <w:spacing w:line="600" w:lineRule="exact"/>
        <w:ind w:firstLine="640" w:firstLineChars="200"/>
        <w:rPr>
          <w:rFonts w:hint="default" w:ascii="Times New Roman" w:hAnsi="Times New Roman" w:eastAsia="仿宋_GB2312" w:cs="Times New Roman"/>
          <w:color w:val="auto"/>
        </w:rPr>
      </w:pPr>
      <w:r>
        <w:rPr>
          <w:rFonts w:hint="default" w:ascii="Times New Roman" w:hAnsi="Times New Roman" w:eastAsia="仿宋_GB2312" w:cs="Times New Roman"/>
          <w:color w:val="auto"/>
        </w:rPr>
        <w:t>本报告根据《中华人民共和国政府信息公开条例》（国务院令第711号，以下简称《条例》）</w:t>
      </w:r>
      <w:r>
        <w:rPr>
          <w:rFonts w:hint="default" w:ascii="Times New Roman" w:hAnsi="Times New Roman" w:eastAsia="仿宋_GB2312" w:cs="Times New Roman"/>
          <w:color w:val="auto"/>
          <w:szCs w:val="32"/>
        </w:rPr>
        <w:t>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color w:val="auto"/>
        </w:rPr>
        <w:t>。报告全文分总体情况、主动公开政府信息情况、收到和处理政府信息公开申请情况、政府信息公开行政复议和行政诉讼情况、存在的主要问题及改进情况、其他需要报告的事项六个部分。</w:t>
      </w:r>
    </w:p>
    <w:p w14:paraId="06C1840B">
      <w:pPr>
        <w:spacing w:line="600" w:lineRule="exact"/>
        <w:ind w:firstLine="640" w:firstLineChars="200"/>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rPr>
        <w:t>报告中所列数据统计期限自202</w:t>
      </w:r>
      <w:r>
        <w:rPr>
          <w:rFonts w:hint="default" w:ascii="Times New Roman" w:hAnsi="Times New Roman" w:eastAsia="仿宋_GB2312" w:cs="Times New Roman"/>
          <w:color w:val="auto"/>
          <w:lang w:val="en-US" w:eastAsia="zh-CN"/>
        </w:rPr>
        <w:t>5</w:t>
      </w:r>
      <w:r>
        <w:rPr>
          <w:rFonts w:hint="default" w:ascii="Times New Roman" w:hAnsi="Times New Roman" w:eastAsia="仿宋_GB2312" w:cs="Times New Roman"/>
          <w:color w:val="auto"/>
        </w:rPr>
        <w:t>年1月1日始，至202</w:t>
      </w:r>
      <w:r>
        <w:rPr>
          <w:rFonts w:hint="default" w:ascii="Times New Roman" w:hAnsi="Times New Roman" w:eastAsia="仿宋_GB2312" w:cs="Times New Roman"/>
          <w:color w:val="auto"/>
          <w:lang w:val="en-US" w:eastAsia="zh-CN"/>
        </w:rPr>
        <w:t>5</w:t>
      </w:r>
      <w:r>
        <w:rPr>
          <w:rFonts w:hint="default" w:ascii="Times New Roman" w:hAnsi="Times New Roman" w:eastAsia="仿宋_GB2312" w:cs="Times New Roman"/>
          <w:color w:val="auto"/>
        </w:rPr>
        <w:t>年12月31日止。报告电子版可在高青县人民政府门户网站（www.gaoqing.gov.cn）查阅和下载。如对报告内容有疑问，</w:t>
      </w:r>
      <w:r>
        <w:rPr>
          <w:rFonts w:hint="default" w:ascii="Times New Roman" w:hAnsi="Times New Roman" w:eastAsia="仿宋_GB2312" w:cs="Times New Roman"/>
          <w:color w:val="auto"/>
          <w:szCs w:val="32"/>
          <w:lang w:eastAsia="zh-CN"/>
        </w:rPr>
        <w:t>请与高青县</w:t>
      </w:r>
      <w:r>
        <w:rPr>
          <w:rFonts w:hint="default" w:ascii="Times New Roman" w:hAnsi="Times New Roman" w:eastAsia="仿宋_GB2312" w:cs="Times New Roman"/>
          <w:color w:val="auto"/>
          <w:szCs w:val="32"/>
          <w:lang w:val="en-US" w:eastAsia="zh-CN"/>
        </w:rPr>
        <w:t>应急管理</w:t>
      </w:r>
      <w:r>
        <w:rPr>
          <w:rFonts w:hint="default" w:ascii="Times New Roman" w:hAnsi="Times New Roman" w:eastAsia="仿宋_GB2312" w:cs="Times New Roman"/>
          <w:color w:val="auto"/>
          <w:szCs w:val="32"/>
          <w:lang w:eastAsia="zh-CN"/>
        </w:rPr>
        <w:t>局办公室联系（地址：山东省淄博市高青县黄河路87号；邮编：256300；电话：0533-6967921；传真：0533-6967921；邮箱：gqxajj@zb.shandong.cn）。</w:t>
      </w:r>
    </w:p>
    <w:p w14:paraId="10FA3FAC">
      <w:pPr>
        <w:spacing w:line="600" w:lineRule="exact"/>
        <w:ind w:firstLine="640" w:firstLineChars="200"/>
        <w:rPr>
          <w:rFonts w:ascii="黑体" w:hAnsi="黑体" w:eastAsia="黑体"/>
          <w:color w:val="auto"/>
          <w:szCs w:val="32"/>
        </w:rPr>
      </w:pPr>
      <w:r>
        <w:rPr>
          <w:rFonts w:hint="eastAsia" w:ascii="黑体" w:hAnsi="黑体" w:eastAsia="黑体"/>
          <w:color w:val="auto"/>
          <w:szCs w:val="32"/>
        </w:rPr>
        <w:t>一、总体情况</w:t>
      </w:r>
    </w:p>
    <w:p w14:paraId="525F3AB9">
      <w:pPr>
        <w:spacing w:line="60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202</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年，高青县</w:t>
      </w:r>
      <w:r>
        <w:rPr>
          <w:rFonts w:hint="default" w:ascii="Times New Roman" w:hAnsi="Times New Roman" w:eastAsia="仿宋_GB2312" w:cs="Times New Roman"/>
          <w:color w:val="auto"/>
          <w:szCs w:val="32"/>
          <w:lang w:eastAsia="zh-CN"/>
        </w:rPr>
        <w:t>应急管理</w:t>
      </w:r>
      <w:r>
        <w:rPr>
          <w:rFonts w:hint="default" w:ascii="Times New Roman" w:hAnsi="Times New Roman" w:eastAsia="仿宋_GB2312" w:cs="Times New Roman"/>
          <w:color w:val="auto"/>
          <w:szCs w:val="32"/>
        </w:rPr>
        <w:t>局</w:t>
      </w:r>
      <w:r>
        <w:rPr>
          <w:rFonts w:hint="eastAsia" w:ascii="仿宋_GB2312" w:eastAsia="仿宋_GB2312"/>
          <w:sz w:val="32"/>
          <w:szCs w:val="32"/>
        </w:rPr>
        <w:t>坚持以习近平新时代中国特色社会主义思想为指导，认真落实国家和省市县政务公开工作部署，</w:t>
      </w:r>
      <w:r>
        <w:rPr>
          <w:rFonts w:hint="default" w:ascii="Times New Roman" w:hAnsi="Times New Roman" w:eastAsia="仿宋_GB2312" w:cs="Times New Roman"/>
          <w:color w:val="auto"/>
          <w:szCs w:val="32"/>
          <w:lang w:eastAsia="zh-CN"/>
        </w:rPr>
        <w:t>结合社会公众关切，紧紧围绕应急管理、安全生产、防灾减灾等核心职能，始终坚持“以公开为常态</w:t>
      </w:r>
      <w:r>
        <w:rPr>
          <w:rFonts w:hint="default" w:ascii="Times New Roman" w:hAnsi="Times New Roman" w:eastAsia="仿宋_GB2312" w:cs="Times New Roman"/>
          <w:color w:val="auto"/>
          <w:szCs w:val="32"/>
          <w:lang w:val="en-US" w:eastAsia="zh-CN"/>
        </w:rPr>
        <w:t>，不公开为例外</w:t>
      </w:r>
      <w:r>
        <w:rPr>
          <w:rFonts w:hint="default" w:ascii="Times New Roman" w:hAnsi="Times New Roman" w:eastAsia="仿宋_GB2312" w:cs="Times New Roman"/>
          <w:color w:val="auto"/>
          <w:szCs w:val="32"/>
          <w:lang w:eastAsia="zh-CN"/>
        </w:rPr>
        <w:t>”的原则</w:t>
      </w:r>
      <w:r>
        <w:rPr>
          <w:rFonts w:hint="default" w:ascii="Times New Roman" w:hAnsi="Times New Roman" w:eastAsia="仿宋_GB2312" w:cs="Times New Roman"/>
          <w:color w:val="auto"/>
          <w:szCs w:val="32"/>
          <w:lang w:val="en-US" w:eastAsia="zh-CN"/>
        </w:rPr>
        <w:t>，全面深化公开内容，不断提升政务公开制度化、标准化、信息化水平，</w:t>
      </w:r>
      <w:r>
        <w:rPr>
          <w:rFonts w:hint="default" w:ascii="Times New Roman" w:hAnsi="Times New Roman" w:eastAsia="仿宋_GB2312" w:cs="Times New Roman"/>
          <w:color w:val="auto"/>
          <w:szCs w:val="32"/>
        </w:rPr>
        <w:t>全面</w:t>
      </w:r>
      <w:r>
        <w:rPr>
          <w:rFonts w:hint="default" w:ascii="Times New Roman" w:hAnsi="Times New Roman" w:eastAsia="仿宋_GB2312" w:cs="Times New Roman"/>
          <w:color w:val="auto"/>
          <w:szCs w:val="32"/>
          <w:lang w:eastAsia="zh-CN"/>
        </w:rPr>
        <w:t>推动</w:t>
      </w:r>
      <w:r>
        <w:rPr>
          <w:rFonts w:hint="default" w:ascii="Times New Roman" w:hAnsi="Times New Roman" w:eastAsia="仿宋_GB2312" w:cs="Times New Roman"/>
          <w:color w:val="auto"/>
          <w:szCs w:val="32"/>
        </w:rPr>
        <w:t>政务公开工作</w:t>
      </w:r>
      <w:r>
        <w:rPr>
          <w:rFonts w:hint="default" w:ascii="Times New Roman" w:hAnsi="Times New Roman" w:eastAsia="仿宋_GB2312" w:cs="Times New Roman"/>
          <w:color w:val="auto"/>
          <w:szCs w:val="32"/>
          <w:lang w:eastAsia="zh-CN"/>
        </w:rPr>
        <w:t>提质增效。</w:t>
      </w:r>
    </w:p>
    <w:p w14:paraId="1BE4FC35">
      <w:pPr>
        <w:spacing w:line="600" w:lineRule="exact"/>
        <w:jc w:val="left"/>
        <w:rPr>
          <w:rFonts w:ascii="楷体_GB2312" w:eastAsia="楷体_GB2312"/>
          <w:color w:val="auto"/>
        </w:rPr>
      </w:pPr>
      <w:r>
        <w:rPr>
          <w:rFonts w:hint="eastAsia" w:ascii="楷体_GB2312" w:eastAsia="楷体_GB2312"/>
          <w:color w:val="auto"/>
        </w:rPr>
        <w:t>（一）主动公开</w:t>
      </w:r>
    </w:p>
    <w:p w14:paraId="4908A452">
      <w:pPr>
        <w:spacing w:line="600" w:lineRule="exact"/>
        <w:jc w:val="both"/>
        <w:rPr>
          <w:rFonts w:hint="default" w:eastAsia="仿宋_GB2312"/>
          <w:color w:val="auto"/>
          <w:szCs w:val="32"/>
          <w:lang w:val="en-US" w:eastAsia="zh-CN"/>
        </w:rPr>
      </w:pPr>
      <w:r>
        <w:rPr>
          <w:color w:val="auto"/>
        </w:rPr>
        <w:drawing>
          <wp:anchor distT="0" distB="0" distL="114300" distR="114300" simplePos="0" relativeHeight="251659264" behindDoc="0" locked="0" layoutInCell="1" allowOverlap="1">
            <wp:simplePos x="0" y="0"/>
            <wp:positionH relativeFrom="column">
              <wp:posOffset>31750</wp:posOffset>
            </wp:positionH>
            <wp:positionV relativeFrom="paragraph">
              <wp:posOffset>3608705</wp:posOffset>
            </wp:positionV>
            <wp:extent cx="5276850" cy="3051810"/>
            <wp:effectExtent l="4445" t="4445" r="14605" b="1079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eastAsia="仿宋_GB2312"/>
          <w:color w:val="auto"/>
          <w:lang w:eastAsia="zh-CN"/>
        </w:rPr>
        <w:t>为健全政务公开长效机制，我局制定并实施了</w:t>
      </w:r>
      <w:r>
        <w:rPr>
          <w:rFonts w:eastAsia="仿宋_GB2312"/>
          <w:color w:val="auto"/>
          <w:szCs w:val="32"/>
        </w:rPr>
        <w:t>《202</w:t>
      </w:r>
      <w:r>
        <w:rPr>
          <w:rFonts w:hint="eastAsia" w:eastAsia="仿宋_GB2312"/>
          <w:color w:val="auto"/>
          <w:szCs w:val="32"/>
          <w:lang w:val="en-US" w:eastAsia="zh-CN"/>
        </w:rPr>
        <w:t>5</w:t>
      </w:r>
      <w:r>
        <w:rPr>
          <w:rFonts w:eastAsia="仿宋_GB2312"/>
          <w:color w:val="auto"/>
          <w:szCs w:val="32"/>
        </w:rPr>
        <w:t>年高青县应急管理局政务公开工作细则》</w:t>
      </w:r>
      <w:r>
        <w:rPr>
          <w:rFonts w:hint="eastAsia" w:ascii="仿宋_GB2312" w:eastAsia="仿宋_GB2312"/>
          <w:color w:val="auto"/>
          <w:lang w:eastAsia="zh-CN"/>
        </w:rPr>
        <w:t>，标准全面规范政务公开工作。</w:t>
      </w:r>
      <w:r>
        <w:rPr>
          <w:rFonts w:eastAsia="仿宋_GB2312"/>
          <w:color w:val="auto"/>
          <w:szCs w:val="32"/>
        </w:rPr>
        <w:t>202</w:t>
      </w:r>
      <w:r>
        <w:rPr>
          <w:rFonts w:hint="eastAsia" w:eastAsia="仿宋_GB2312"/>
          <w:color w:val="auto"/>
          <w:szCs w:val="32"/>
          <w:lang w:val="en-US" w:eastAsia="zh-CN"/>
        </w:rPr>
        <w:t>5</w:t>
      </w:r>
      <w:r>
        <w:rPr>
          <w:rFonts w:eastAsia="仿宋_GB2312"/>
          <w:color w:val="auto"/>
          <w:szCs w:val="32"/>
        </w:rPr>
        <w:t>年</w:t>
      </w:r>
      <w:r>
        <w:rPr>
          <w:rFonts w:hint="eastAsia" w:eastAsia="仿宋_GB2312"/>
          <w:color w:val="auto"/>
          <w:szCs w:val="32"/>
          <w:lang w:eastAsia="zh-CN"/>
        </w:rPr>
        <w:t>通过</w:t>
      </w:r>
      <w:r>
        <w:rPr>
          <w:rFonts w:hint="eastAsia" w:eastAsia="仿宋_GB2312"/>
          <w:color w:val="auto"/>
          <w:szCs w:val="32"/>
          <w:lang w:val="en-US" w:eastAsia="zh-CN"/>
        </w:rPr>
        <w:t>政府网站主动公开信息150</w:t>
      </w:r>
      <w:r>
        <w:rPr>
          <w:rFonts w:eastAsia="仿宋_GB2312"/>
          <w:color w:val="auto"/>
          <w:szCs w:val="32"/>
        </w:rPr>
        <w:t>余条，较</w:t>
      </w:r>
      <w:r>
        <w:rPr>
          <w:rFonts w:hint="eastAsia" w:eastAsia="仿宋_GB2312"/>
          <w:color w:val="auto"/>
          <w:szCs w:val="32"/>
          <w:lang w:eastAsia="zh-CN"/>
        </w:rPr>
        <w:t>上</w:t>
      </w:r>
      <w:r>
        <w:rPr>
          <w:rFonts w:eastAsia="仿宋_GB2312"/>
          <w:color w:val="auto"/>
          <w:szCs w:val="32"/>
        </w:rPr>
        <w:t>年度增加</w:t>
      </w:r>
      <w:r>
        <w:rPr>
          <w:rFonts w:hint="eastAsia" w:eastAsia="仿宋_GB2312"/>
          <w:color w:val="auto"/>
          <w:szCs w:val="32"/>
          <w:lang w:val="en-US" w:eastAsia="zh-CN"/>
        </w:rPr>
        <w:t>11.4</w:t>
      </w:r>
      <w:r>
        <w:rPr>
          <w:rFonts w:eastAsia="仿宋_GB2312"/>
          <w:color w:val="auto"/>
          <w:szCs w:val="32"/>
        </w:rPr>
        <w:t>％</w:t>
      </w:r>
      <w:r>
        <w:rPr>
          <w:rFonts w:hint="eastAsia" w:eastAsia="仿宋_GB2312"/>
          <w:color w:val="auto"/>
          <w:szCs w:val="32"/>
          <w:lang w:eastAsia="zh-CN"/>
        </w:rPr>
        <w:t>。常态化开展政策解读工作，年内发布解读材料</w:t>
      </w:r>
      <w:r>
        <w:rPr>
          <w:rFonts w:hint="eastAsia" w:eastAsia="仿宋_GB2312"/>
          <w:color w:val="auto"/>
          <w:szCs w:val="32"/>
          <w:lang w:val="en-US" w:eastAsia="zh-CN"/>
        </w:rPr>
        <w:t>2篇。</w:t>
      </w:r>
      <w:r>
        <w:rPr>
          <w:rFonts w:hint="eastAsia" w:eastAsia="仿宋_GB2312"/>
          <w:color w:val="auto"/>
          <w:szCs w:val="32"/>
          <w:lang w:eastAsia="zh-CN"/>
        </w:rPr>
        <w:t>扎实推进安全生产、</w:t>
      </w:r>
      <w:r>
        <w:rPr>
          <w:rFonts w:hint="eastAsia" w:eastAsia="仿宋_GB2312"/>
          <w:color w:val="auto"/>
          <w:szCs w:val="32"/>
          <w:lang w:val="en-US" w:eastAsia="zh-CN"/>
        </w:rPr>
        <w:t>灾害预警、应急管理等重点领域公开工作攻坚，年内发布相关信息120余条，不断健全信息常态化公开机制。聚焦群众关切，积极回应诉求，</w:t>
      </w:r>
      <w:r>
        <w:rPr>
          <w:rFonts w:eastAsia="仿宋_GB2312"/>
          <w:color w:val="auto"/>
          <w:szCs w:val="32"/>
        </w:rPr>
        <w:t>办理12345热线群众诉求</w:t>
      </w:r>
      <w:r>
        <w:rPr>
          <w:rFonts w:hint="eastAsia" w:eastAsia="仿宋_GB2312"/>
          <w:color w:val="auto"/>
          <w:szCs w:val="32"/>
          <w:u w:val="none"/>
          <w:lang w:val="en-US" w:eastAsia="zh-CN"/>
        </w:rPr>
        <w:t>71</w:t>
      </w:r>
      <w:r>
        <w:rPr>
          <w:rFonts w:eastAsia="仿宋_GB2312"/>
          <w:color w:val="auto"/>
          <w:szCs w:val="32"/>
        </w:rPr>
        <w:t>件，办结率率100%。</w:t>
      </w:r>
    </w:p>
    <w:p w14:paraId="4484F873">
      <w:pPr>
        <w:spacing w:line="600" w:lineRule="exact"/>
        <w:ind w:left="0" w:leftChars="0" w:firstLine="0" w:firstLineChars="0"/>
        <w:jc w:val="left"/>
        <w:rPr>
          <w:rFonts w:hint="eastAsia" w:ascii="楷体_GB2312" w:eastAsia="楷体_GB2312"/>
          <w:color w:val="auto"/>
        </w:rPr>
      </w:pPr>
      <w:r>
        <w:rPr>
          <w:rFonts w:eastAsiaTheme="minorEastAsia"/>
          <w:color w:val="auto"/>
        </w:rPr>
        <w:drawing>
          <wp:anchor distT="0" distB="0" distL="114300" distR="114300" simplePos="0" relativeHeight="251660288" behindDoc="0" locked="0" layoutInCell="1" allowOverlap="1">
            <wp:simplePos x="0" y="0"/>
            <wp:positionH relativeFrom="column">
              <wp:posOffset>153035</wp:posOffset>
            </wp:positionH>
            <wp:positionV relativeFrom="paragraph">
              <wp:posOffset>113030</wp:posOffset>
            </wp:positionV>
            <wp:extent cx="5371465" cy="4022725"/>
            <wp:effectExtent l="5080" t="4445" r="14605" b="1143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71D3FE6">
      <w:pPr>
        <w:spacing w:line="600" w:lineRule="exact"/>
        <w:jc w:val="left"/>
        <w:rPr>
          <w:rFonts w:ascii="楷体_GB2312" w:eastAsia="楷体_GB2312"/>
          <w:color w:val="auto"/>
        </w:rPr>
      </w:pPr>
      <w:r>
        <w:rPr>
          <w:rFonts w:hint="eastAsia" w:ascii="楷体_GB2312" w:eastAsia="楷体_GB2312"/>
          <w:color w:val="auto"/>
        </w:rPr>
        <w:t>（二）依申请公开</w:t>
      </w:r>
    </w:p>
    <w:p w14:paraId="11CBF466">
      <w:pPr>
        <w:spacing w:line="600" w:lineRule="exact"/>
        <w:jc w:val="both"/>
        <w:rPr>
          <w:rFonts w:hint="eastAsia" w:eastAsia="仿宋_GB2312"/>
          <w:color w:val="auto"/>
          <w:szCs w:val="32"/>
          <w:lang w:eastAsia="zh-CN"/>
        </w:rPr>
      </w:pPr>
      <w:r>
        <w:rPr>
          <w:rFonts w:hint="eastAsia" w:eastAsia="仿宋_GB2312"/>
          <w:color w:val="auto"/>
          <w:szCs w:val="32"/>
          <w:lang w:val="en-US" w:eastAsia="zh-CN"/>
        </w:rPr>
        <w:t>在</w:t>
      </w:r>
      <w:r>
        <w:rPr>
          <w:rFonts w:hint="eastAsia" w:eastAsia="仿宋_GB2312"/>
          <w:color w:val="auto"/>
          <w:szCs w:val="32"/>
          <w:lang w:eastAsia="zh-CN"/>
        </w:rPr>
        <w:t>严格执行《中华人民共和国政府信息公开条例》的基础上，聚焦依申请公开办理全流程，规范受理流程，确保“入口清晰、责任到人”。202</w:t>
      </w:r>
      <w:r>
        <w:rPr>
          <w:rFonts w:hint="eastAsia" w:eastAsia="仿宋_GB2312"/>
          <w:color w:val="auto"/>
          <w:szCs w:val="32"/>
          <w:lang w:val="en-US" w:eastAsia="zh-CN"/>
        </w:rPr>
        <w:t>5</w:t>
      </w:r>
      <w:r>
        <w:rPr>
          <w:rFonts w:hint="eastAsia" w:eastAsia="仿宋_GB2312"/>
          <w:color w:val="auto"/>
          <w:szCs w:val="32"/>
          <w:lang w:eastAsia="zh-CN"/>
        </w:rPr>
        <w:t>年共收到政府信息公开申请</w:t>
      </w:r>
      <w:r>
        <w:rPr>
          <w:rFonts w:hint="eastAsia" w:eastAsia="仿宋_GB2312"/>
          <w:color w:val="auto"/>
          <w:szCs w:val="32"/>
          <w:lang w:val="en-US" w:eastAsia="zh-CN"/>
        </w:rPr>
        <w:t>2</w:t>
      </w:r>
      <w:r>
        <w:rPr>
          <w:rFonts w:hint="eastAsia" w:eastAsia="仿宋_GB2312"/>
          <w:color w:val="auto"/>
          <w:szCs w:val="32"/>
          <w:lang w:eastAsia="zh-CN"/>
        </w:rPr>
        <w:t>件，比上年度增加</w:t>
      </w:r>
      <w:r>
        <w:rPr>
          <w:rFonts w:hint="eastAsia" w:eastAsia="仿宋_GB2312"/>
          <w:color w:val="auto"/>
          <w:szCs w:val="32"/>
          <w:lang w:val="en-US" w:eastAsia="zh-CN"/>
        </w:rPr>
        <w:t>2</w:t>
      </w:r>
      <w:r>
        <w:rPr>
          <w:rFonts w:hint="eastAsia" w:eastAsia="仿宋_GB2312"/>
          <w:color w:val="auto"/>
          <w:szCs w:val="32"/>
          <w:lang w:eastAsia="zh-CN"/>
        </w:rPr>
        <w:t>件，申请内容主要涉及</w:t>
      </w:r>
      <w:r>
        <w:rPr>
          <w:rFonts w:hint="eastAsia" w:eastAsia="仿宋_GB2312"/>
          <w:color w:val="auto"/>
          <w:szCs w:val="32"/>
          <w:lang w:val="en-US" w:eastAsia="zh-CN"/>
        </w:rPr>
        <w:t>消防安全</w:t>
      </w:r>
      <w:r>
        <w:rPr>
          <w:rFonts w:hint="eastAsia" w:eastAsia="仿宋_GB2312"/>
          <w:color w:val="auto"/>
          <w:szCs w:val="32"/>
          <w:lang w:eastAsia="zh-CN"/>
        </w:rPr>
        <w:t>领域。作出政府信息公开申请答复</w:t>
      </w:r>
      <w:r>
        <w:rPr>
          <w:rFonts w:hint="eastAsia" w:eastAsia="仿宋_GB2312"/>
          <w:color w:val="auto"/>
          <w:szCs w:val="32"/>
          <w:lang w:val="en-US" w:eastAsia="zh-CN"/>
        </w:rPr>
        <w:t>2</w:t>
      </w:r>
      <w:r>
        <w:rPr>
          <w:rFonts w:hint="eastAsia" w:eastAsia="仿宋_GB2312"/>
          <w:color w:val="auto"/>
          <w:szCs w:val="32"/>
          <w:lang w:eastAsia="zh-CN"/>
        </w:rPr>
        <w:t>件，其中无法提供</w:t>
      </w:r>
      <w:r>
        <w:rPr>
          <w:rFonts w:hint="eastAsia" w:eastAsia="仿宋_GB2312"/>
          <w:color w:val="auto"/>
          <w:szCs w:val="32"/>
          <w:lang w:val="en-US" w:eastAsia="zh-CN"/>
        </w:rPr>
        <w:t>2</w:t>
      </w:r>
      <w:r>
        <w:rPr>
          <w:rFonts w:hint="eastAsia" w:eastAsia="仿宋_GB2312"/>
          <w:color w:val="auto"/>
          <w:szCs w:val="32"/>
          <w:lang w:eastAsia="zh-CN"/>
        </w:rPr>
        <w:t>件。依申请公开政府信息未收取任何费用。未因政府信息公开被申请行政复议、提起行政诉讼。</w:t>
      </w:r>
    </w:p>
    <w:p w14:paraId="7930F601">
      <w:pPr>
        <w:spacing w:line="600" w:lineRule="exact"/>
        <w:jc w:val="left"/>
        <w:rPr>
          <w:rFonts w:ascii="楷体_GB2312" w:eastAsia="楷体_GB2312"/>
          <w:color w:val="auto"/>
        </w:rPr>
      </w:pPr>
      <w:r>
        <w:rPr>
          <w:rFonts w:hint="eastAsia" w:ascii="楷体_GB2312" w:eastAsia="楷体_GB2312"/>
          <w:color w:val="auto"/>
        </w:rPr>
        <w:t>（三）政府信息管理</w:t>
      </w:r>
    </w:p>
    <w:p w14:paraId="63EB7DAF">
      <w:pPr>
        <w:spacing w:line="600" w:lineRule="exact"/>
        <w:ind w:left="0" w:leftChars="0" w:firstLine="640" w:firstLineChars="200"/>
        <w:jc w:val="left"/>
        <w:rPr>
          <w:rFonts w:hint="default" w:eastAsia="仿宋_GB2312"/>
          <w:color w:val="auto"/>
          <w:szCs w:val="32"/>
          <w:lang w:val="en-US" w:eastAsia="zh-CN"/>
        </w:rPr>
      </w:pPr>
      <w:r>
        <w:rPr>
          <w:rFonts w:hint="eastAsia" w:eastAsia="仿宋_GB2312"/>
          <w:color w:val="auto"/>
          <w:szCs w:val="32"/>
          <w:lang w:val="en-US" w:eastAsia="zh-CN"/>
        </w:rPr>
        <w:t>本年度积极优化政府信息管理流程，根据信息属性定期对已公开信息开展更新与清理工作，对动态类信息如领导分工、公示到期等情况，根据实际情况变化及时更新。严格信息公开前保密审核机制，由信息起草科室负责人把关、信息内容所属分管领导审核、局分管政务公开工作的领导或主要领导进行最终审定。对应急管理工作中常见的预案、预警、事故通报、执法结果、政策文件、财政信息等分类明确，强化内部公开属性认定指引。</w:t>
      </w:r>
    </w:p>
    <w:p w14:paraId="6504A72D">
      <w:pPr>
        <w:spacing w:line="600" w:lineRule="exact"/>
        <w:jc w:val="left"/>
        <w:rPr>
          <w:rFonts w:hint="eastAsia" w:ascii="楷体_GB2312" w:eastAsia="楷体_GB2312"/>
          <w:color w:val="auto"/>
        </w:rPr>
      </w:pPr>
      <w:r>
        <w:rPr>
          <w:rFonts w:hint="eastAsia" w:ascii="楷体_GB2312" w:eastAsia="楷体_GB2312"/>
          <w:color w:val="auto"/>
        </w:rPr>
        <w:t>（四）政府信息公开平台建设</w:t>
      </w:r>
    </w:p>
    <w:p w14:paraId="6E2C67F0">
      <w:pPr>
        <w:spacing w:line="600" w:lineRule="exact"/>
        <w:jc w:val="left"/>
        <w:rPr>
          <w:rFonts w:hint="default" w:eastAsia="仿宋_GB2312"/>
          <w:color w:val="auto"/>
          <w:szCs w:val="32"/>
          <w:lang w:val="en-US" w:eastAsia="zh-CN"/>
        </w:rPr>
      </w:pPr>
      <w:r>
        <w:rPr>
          <w:rFonts w:hint="eastAsia" w:eastAsia="仿宋_GB2312"/>
          <w:color w:val="auto"/>
          <w:szCs w:val="32"/>
          <w:lang w:val="en-US" w:eastAsia="zh-CN"/>
        </w:rPr>
        <w:t>本年度新开设“政府开放活动”栏目，发布相关活动稿件，并保持“重要部署执行”、“灾害事故救援”、“双随机一公开”等栏目的常态化更新。</w:t>
      </w:r>
    </w:p>
    <w:p w14:paraId="26CDC1CB">
      <w:pPr>
        <w:spacing w:line="600" w:lineRule="exact"/>
        <w:jc w:val="left"/>
        <w:rPr>
          <w:rFonts w:ascii="楷体_GB2312" w:eastAsia="楷体_GB2312"/>
          <w:color w:val="auto"/>
        </w:rPr>
      </w:pPr>
      <w:r>
        <w:rPr>
          <w:rFonts w:hint="eastAsia" w:ascii="楷体_GB2312" w:eastAsia="楷体_GB2312"/>
          <w:color w:val="auto"/>
        </w:rPr>
        <w:t>（五）监督保障</w:t>
      </w:r>
    </w:p>
    <w:p w14:paraId="5218A672">
      <w:pPr>
        <w:spacing w:line="600" w:lineRule="exact"/>
        <w:ind w:firstLine="640" w:firstLineChars="200"/>
        <w:rPr>
          <w:rFonts w:hint="eastAsia" w:eastAsia="仿宋_GB2312"/>
          <w:color w:val="auto"/>
          <w:szCs w:val="32"/>
          <w:lang w:val="en-US" w:eastAsia="zh-CN"/>
        </w:rPr>
      </w:pPr>
      <w:r>
        <w:rPr>
          <w:rFonts w:hint="eastAsia" w:eastAsia="仿宋_GB2312"/>
          <w:color w:val="auto"/>
          <w:szCs w:val="32"/>
          <w:lang w:val="en-US" w:eastAsia="zh-CN"/>
        </w:rPr>
        <w:t>加强对本单位政府信息公开工作的组织领导，局主要负责同志定期听取政务公开工作汇报，帮助解决难点、堵点问题，并部署阶段性重点任务；</w:t>
      </w:r>
      <w:r>
        <w:rPr>
          <w:rFonts w:hint="eastAsia" w:ascii="仿宋_GB2312" w:eastAsia="仿宋_GB2312"/>
          <w:color w:val="auto"/>
          <w:lang w:val="en-US" w:eastAsia="zh-CN"/>
        </w:rPr>
        <w:t>局办公室具体负责政务公开工作，并配备1名专职人员具体负责。</w:t>
      </w:r>
      <w:r>
        <w:rPr>
          <w:rFonts w:hint="eastAsia" w:eastAsia="仿宋_GB2312"/>
          <w:color w:val="auto"/>
          <w:szCs w:val="32"/>
          <w:lang w:val="en-US" w:eastAsia="zh-CN"/>
        </w:rPr>
        <w:t>组织展开政务公开培训2次，并选派1名专职人员前往县政府办公室开展跟班学习，帮助其更新知识结构，强化业务技能，为政务公开工作的高质量开展提供有力支撑。</w:t>
      </w:r>
    </w:p>
    <w:p w14:paraId="0399E386">
      <w:pPr>
        <w:spacing w:line="600" w:lineRule="exact"/>
        <w:ind w:firstLine="640" w:firstLineChars="200"/>
        <w:rPr>
          <w:rFonts w:hint="eastAsia" w:eastAsia="仿宋_GB2312"/>
          <w:color w:val="auto"/>
          <w:szCs w:val="32"/>
          <w:lang w:val="en-US" w:eastAsia="zh-CN"/>
        </w:rPr>
      </w:pPr>
    </w:p>
    <w:p w14:paraId="15233FA4">
      <w:pPr>
        <w:spacing w:line="600" w:lineRule="exact"/>
        <w:ind w:firstLine="640" w:firstLineChars="200"/>
        <w:rPr>
          <w:rFonts w:hint="eastAsia" w:eastAsia="仿宋_GB2312"/>
          <w:color w:val="auto"/>
          <w:szCs w:val="32"/>
          <w:lang w:val="en-US" w:eastAsia="zh-CN"/>
        </w:rPr>
      </w:pPr>
    </w:p>
    <w:p w14:paraId="2BC6A895">
      <w:pPr>
        <w:spacing w:line="600" w:lineRule="exact"/>
        <w:ind w:firstLine="640" w:firstLineChars="200"/>
        <w:rPr>
          <w:rFonts w:hint="eastAsia" w:eastAsia="仿宋_GB2312"/>
          <w:color w:val="auto"/>
          <w:szCs w:val="32"/>
          <w:lang w:val="en-US" w:eastAsia="zh-CN"/>
        </w:rPr>
      </w:pPr>
    </w:p>
    <w:p w14:paraId="35EE9E32">
      <w:pPr>
        <w:spacing w:line="600" w:lineRule="exact"/>
        <w:ind w:firstLine="640" w:firstLineChars="200"/>
        <w:rPr>
          <w:rFonts w:hint="eastAsia" w:eastAsia="仿宋_GB2312"/>
          <w:color w:val="auto"/>
          <w:szCs w:val="32"/>
          <w:lang w:val="en-US" w:eastAsia="zh-CN"/>
        </w:rPr>
      </w:pPr>
    </w:p>
    <w:p w14:paraId="7B1504E9">
      <w:pPr>
        <w:spacing w:after="156" w:afterLines="50" w:line="240" w:lineRule="auto"/>
        <w:ind w:firstLine="640" w:firstLineChars="200"/>
        <w:rPr>
          <w:rFonts w:ascii="黑体" w:hAnsi="黑体" w:eastAsia="黑体"/>
          <w:color w:val="auto"/>
          <w:szCs w:val="32"/>
        </w:rPr>
      </w:pPr>
      <w:r>
        <w:rPr>
          <w:rFonts w:hint="eastAsia" w:ascii="黑体" w:hAnsi="黑体" w:eastAsia="黑体"/>
          <w:color w:val="auto"/>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22FB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41FA372">
            <w:pPr>
              <w:spacing w:line="240" w:lineRule="auto"/>
              <w:ind w:firstLine="0"/>
              <w:jc w:val="center"/>
              <w:rPr>
                <w:rFonts w:ascii="黑体" w:hAnsi="黑体" w:eastAsia="黑体"/>
                <w:color w:val="auto"/>
                <w:sz w:val="20"/>
              </w:rPr>
            </w:pPr>
            <w:r>
              <w:rPr>
                <w:rFonts w:hint="eastAsia" w:ascii="宋体" w:hAnsi="宋体" w:eastAsia="宋体" w:cs="宋体"/>
                <w:snapToGrid/>
                <w:color w:val="auto"/>
                <w:sz w:val="20"/>
              </w:rPr>
              <w:t>第二十条第（一）项</w:t>
            </w:r>
          </w:p>
        </w:tc>
      </w:tr>
      <w:tr w14:paraId="2C27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4A55190">
            <w:pPr>
              <w:widowControl/>
              <w:autoSpaceDE/>
              <w:autoSpaceDN/>
              <w:snapToGrid/>
              <w:spacing w:line="240" w:lineRule="auto"/>
              <w:ind w:firstLine="0"/>
              <w:jc w:val="center"/>
              <w:rPr>
                <w:rFonts w:ascii="宋体" w:hAnsi="宋体" w:eastAsia="宋体" w:cs="宋体"/>
                <w:snapToGrid/>
                <w:color w:val="auto"/>
                <w:sz w:val="20"/>
              </w:rPr>
            </w:pPr>
            <w:r>
              <w:rPr>
                <w:rFonts w:hint="eastAsia" w:ascii="宋体" w:hAnsi="宋体" w:eastAsia="宋体" w:cs="宋体"/>
                <w:snapToGrid/>
                <w:color w:val="auto"/>
                <w:sz w:val="20"/>
              </w:rPr>
              <w:t>信息内容</w:t>
            </w:r>
          </w:p>
        </w:tc>
        <w:tc>
          <w:tcPr>
            <w:tcW w:w="2130" w:type="dxa"/>
            <w:vAlign w:val="center"/>
          </w:tcPr>
          <w:p w14:paraId="793953D4">
            <w:pPr>
              <w:widowControl/>
              <w:autoSpaceDE/>
              <w:autoSpaceDN/>
              <w:snapToGrid/>
              <w:spacing w:line="240" w:lineRule="auto"/>
              <w:ind w:firstLine="0"/>
              <w:jc w:val="center"/>
              <w:rPr>
                <w:rFonts w:ascii="宋体" w:hAnsi="宋体" w:eastAsia="宋体" w:cs="宋体"/>
                <w:snapToGrid/>
                <w:color w:val="auto"/>
                <w:sz w:val="20"/>
              </w:rPr>
            </w:pPr>
            <w:r>
              <w:rPr>
                <w:rFonts w:hint="eastAsia" w:ascii="宋体" w:hAnsi="宋体" w:eastAsia="宋体" w:cs="宋体"/>
                <w:snapToGrid/>
                <w:color w:val="auto"/>
                <w:sz w:val="20"/>
              </w:rPr>
              <w:t>本年</w:t>
            </w:r>
            <w:r>
              <w:rPr>
                <w:rFonts w:ascii="宋体" w:hAnsi="宋体" w:eastAsia="宋体" w:cs="Calibri"/>
                <w:snapToGrid/>
                <w:color w:val="auto"/>
                <w:sz w:val="20"/>
              </w:rPr>
              <w:t>制</w:t>
            </w:r>
            <w:r>
              <w:rPr>
                <w:rFonts w:hint="eastAsia" w:ascii="宋体" w:hAnsi="宋体" w:eastAsia="宋体" w:cs="宋体"/>
                <w:snapToGrid/>
                <w:color w:val="auto"/>
                <w:sz w:val="20"/>
              </w:rPr>
              <w:t>发件</w:t>
            </w:r>
            <w:r>
              <w:rPr>
                <w:rFonts w:ascii="宋体" w:hAnsi="宋体" w:eastAsia="宋体" w:cs="Calibri"/>
                <w:snapToGrid/>
                <w:color w:val="auto"/>
                <w:sz w:val="20"/>
              </w:rPr>
              <w:t>数</w:t>
            </w:r>
          </w:p>
        </w:tc>
        <w:tc>
          <w:tcPr>
            <w:tcW w:w="2131" w:type="dxa"/>
            <w:vAlign w:val="center"/>
          </w:tcPr>
          <w:p w14:paraId="1160E06D">
            <w:pPr>
              <w:widowControl/>
              <w:autoSpaceDE/>
              <w:autoSpaceDN/>
              <w:snapToGrid/>
              <w:spacing w:line="240" w:lineRule="auto"/>
              <w:ind w:firstLine="0"/>
              <w:jc w:val="center"/>
              <w:rPr>
                <w:rFonts w:ascii="宋体" w:hAnsi="宋体" w:eastAsia="宋体" w:cs="宋体"/>
                <w:snapToGrid/>
                <w:color w:val="auto"/>
                <w:sz w:val="20"/>
              </w:rPr>
            </w:pPr>
            <w:r>
              <w:rPr>
                <w:rFonts w:hint="eastAsia" w:ascii="宋体" w:hAnsi="宋体" w:eastAsia="宋体" w:cs="宋体"/>
                <w:snapToGrid/>
                <w:color w:val="auto"/>
                <w:sz w:val="20"/>
              </w:rPr>
              <w:t>本年废止件数</w:t>
            </w:r>
          </w:p>
        </w:tc>
        <w:tc>
          <w:tcPr>
            <w:tcW w:w="2131" w:type="dxa"/>
            <w:vAlign w:val="center"/>
          </w:tcPr>
          <w:p w14:paraId="606D5E20">
            <w:pPr>
              <w:widowControl/>
              <w:autoSpaceDE/>
              <w:autoSpaceDN/>
              <w:snapToGrid/>
              <w:spacing w:line="240" w:lineRule="auto"/>
              <w:ind w:firstLine="0"/>
              <w:jc w:val="center"/>
              <w:rPr>
                <w:rFonts w:ascii="宋体" w:hAnsi="宋体" w:eastAsia="宋体" w:cs="宋体"/>
                <w:snapToGrid/>
                <w:color w:val="auto"/>
                <w:sz w:val="20"/>
              </w:rPr>
            </w:pPr>
            <w:r>
              <w:rPr>
                <w:rFonts w:hint="eastAsia" w:ascii="宋体" w:hAnsi="宋体" w:eastAsia="宋体" w:cs="宋体"/>
                <w:snapToGrid/>
                <w:color w:val="auto"/>
                <w:sz w:val="20"/>
              </w:rPr>
              <w:t>现行有效件</w:t>
            </w:r>
            <w:r>
              <w:rPr>
                <w:rFonts w:ascii="宋体" w:hAnsi="宋体" w:eastAsia="宋体" w:cs="Calibri"/>
                <w:snapToGrid/>
                <w:color w:val="auto"/>
                <w:sz w:val="20"/>
              </w:rPr>
              <w:t>数</w:t>
            </w:r>
          </w:p>
        </w:tc>
      </w:tr>
      <w:tr w14:paraId="5381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6B71D74">
            <w:pPr>
              <w:widowControl/>
              <w:autoSpaceDE/>
              <w:autoSpaceDN/>
              <w:snapToGrid/>
              <w:spacing w:line="240" w:lineRule="auto"/>
              <w:ind w:firstLine="0"/>
              <w:rPr>
                <w:rFonts w:ascii="宋体" w:hAnsi="宋体" w:eastAsia="宋体" w:cs="宋体"/>
                <w:snapToGrid/>
                <w:color w:val="auto"/>
                <w:sz w:val="20"/>
              </w:rPr>
            </w:pPr>
            <w:r>
              <w:rPr>
                <w:rFonts w:hint="eastAsia" w:ascii="宋体" w:hAnsi="宋体" w:eastAsia="宋体" w:cs="宋体"/>
                <w:snapToGrid/>
                <w:color w:val="auto"/>
                <w:sz w:val="20"/>
              </w:rPr>
              <w:t>规章</w:t>
            </w:r>
          </w:p>
        </w:tc>
        <w:tc>
          <w:tcPr>
            <w:tcW w:w="2130" w:type="dxa"/>
            <w:vAlign w:val="center"/>
          </w:tcPr>
          <w:p w14:paraId="12E2B24D">
            <w:pPr>
              <w:spacing w:line="240" w:lineRule="auto"/>
              <w:ind w:firstLine="0"/>
              <w:jc w:val="center"/>
              <w:rPr>
                <w:rFonts w:hint="eastAsia" w:ascii="黑体" w:hAnsi="黑体" w:eastAsia="黑体"/>
                <w:color w:val="auto"/>
                <w:sz w:val="20"/>
                <w:lang w:val="en-US" w:eastAsia="zh-CN"/>
              </w:rPr>
            </w:pPr>
            <w:r>
              <w:rPr>
                <w:rFonts w:hint="eastAsia" w:ascii="黑体" w:hAnsi="黑体" w:eastAsia="黑体"/>
                <w:color w:val="auto"/>
                <w:sz w:val="20"/>
                <w:lang w:val="en-US" w:eastAsia="zh-CN"/>
              </w:rPr>
              <w:t>0</w:t>
            </w:r>
          </w:p>
        </w:tc>
        <w:tc>
          <w:tcPr>
            <w:tcW w:w="2131" w:type="dxa"/>
            <w:vAlign w:val="center"/>
          </w:tcPr>
          <w:p w14:paraId="6C5A8534">
            <w:pPr>
              <w:spacing w:line="240" w:lineRule="auto"/>
              <w:ind w:firstLine="0"/>
              <w:jc w:val="center"/>
              <w:rPr>
                <w:rFonts w:hint="eastAsia" w:ascii="黑体" w:hAnsi="黑体" w:eastAsia="黑体"/>
                <w:color w:val="auto"/>
                <w:sz w:val="20"/>
                <w:lang w:val="en-US" w:eastAsia="zh-CN"/>
              </w:rPr>
            </w:pPr>
            <w:r>
              <w:rPr>
                <w:rFonts w:hint="eastAsia" w:ascii="黑体" w:hAnsi="黑体" w:eastAsia="黑体"/>
                <w:color w:val="auto"/>
                <w:sz w:val="20"/>
                <w:lang w:val="en-US" w:eastAsia="zh-CN"/>
              </w:rPr>
              <w:t>0</w:t>
            </w:r>
          </w:p>
        </w:tc>
        <w:tc>
          <w:tcPr>
            <w:tcW w:w="2131" w:type="dxa"/>
            <w:vAlign w:val="center"/>
          </w:tcPr>
          <w:p w14:paraId="7502507A">
            <w:pPr>
              <w:spacing w:line="240" w:lineRule="auto"/>
              <w:ind w:firstLine="0"/>
              <w:jc w:val="center"/>
              <w:rPr>
                <w:rFonts w:hint="eastAsia" w:ascii="黑体" w:hAnsi="黑体" w:eastAsia="黑体"/>
                <w:color w:val="auto"/>
                <w:sz w:val="20"/>
                <w:lang w:val="en-US" w:eastAsia="zh-CN"/>
              </w:rPr>
            </w:pPr>
            <w:r>
              <w:rPr>
                <w:rFonts w:hint="eastAsia" w:ascii="黑体" w:hAnsi="黑体" w:eastAsia="黑体"/>
                <w:color w:val="auto"/>
                <w:sz w:val="20"/>
                <w:lang w:val="en-US" w:eastAsia="zh-CN"/>
              </w:rPr>
              <w:t>0</w:t>
            </w:r>
          </w:p>
        </w:tc>
      </w:tr>
      <w:tr w14:paraId="3E03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87E084F">
            <w:pPr>
              <w:widowControl/>
              <w:autoSpaceDE/>
              <w:autoSpaceDN/>
              <w:snapToGrid/>
              <w:spacing w:line="240" w:lineRule="auto"/>
              <w:ind w:firstLine="0"/>
              <w:rPr>
                <w:rFonts w:ascii="宋体" w:hAnsi="宋体" w:eastAsia="宋体" w:cs="宋体"/>
                <w:snapToGrid/>
                <w:color w:val="auto"/>
                <w:sz w:val="20"/>
              </w:rPr>
            </w:pPr>
            <w:r>
              <w:rPr>
                <w:rFonts w:hint="eastAsia" w:ascii="宋体" w:hAnsi="宋体" w:eastAsia="宋体" w:cs="宋体"/>
                <w:snapToGrid/>
                <w:color w:val="auto"/>
                <w:sz w:val="20"/>
              </w:rPr>
              <w:t>行政规范性文件</w:t>
            </w:r>
          </w:p>
        </w:tc>
        <w:tc>
          <w:tcPr>
            <w:tcW w:w="2130" w:type="dxa"/>
            <w:vAlign w:val="center"/>
          </w:tcPr>
          <w:p w14:paraId="2275F615">
            <w:pPr>
              <w:spacing w:line="240" w:lineRule="auto"/>
              <w:ind w:firstLine="0"/>
              <w:jc w:val="center"/>
              <w:rPr>
                <w:rFonts w:hint="eastAsia" w:ascii="黑体" w:hAnsi="黑体" w:eastAsia="黑体"/>
                <w:color w:val="auto"/>
                <w:sz w:val="20"/>
                <w:lang w:val="en-US" w:eastAsia="zh-CN"/>
              </w:rPr>
            </w:pPr>
            <w:r>
              <w:rPr>
                <w:rFonts w:hint="eastAsia" w:ascii="黑体" w:hAnsi="黑体" w:eastAsia="黑体"/>
                <w:color w:val="auto"/>
                <w:sz w:val="20"/>
                <w:lang w:val="en-US" w:eastAsia="zh-CN"/>
              </w:rPr>
              <w:t>0</w:t>
            </w:r>
          </w:p>
        </w:tc>
        <w:tc>
          <w:tcPr>
            <w:tcW w:w="2131" w:type="dxa"/>
            <w:vAlign w:val="center"/>
          </w:tcPr>
          <w:p w14:paraId="08E8F289">
            <w:pPr>
              <w:spacing w:line="240" w:lineRule="auto"/>
              <w:ind w:firstLine="0"/>
              <w:jc w:val="center"/>
              <w:rPr>
                <w:rFonts w:hint="eastAsia" w:ascii="黑体" w:hAnsi="黑体" w:eastAsia="黑体"/>
                <w:color w:val="auto"/>
                <w:sz w:val="20"/>
                <w:lang w:val="en-US" w:eastAsia="zh-CN"/>
              </w:rPr>
            </w:pPr>
            <w:r>
              <w:rPr>
                <w:rFonts w:hint="eastAsia" w:ascii="黑体" w:hAnsi="黑体" w:eastAsia="黑体"/>
                <w:color w:val="auto"/>
                <w:sz w:val="20"/>
                <w:lang w:val="en-US" w:eastAsia="zh-CN"/>
              </w:rPr>
              <w:t>0</w:t>
            </w:r>
          </w:p>
        </w:tc>
        <w:tc>
          <w:tcPr>
            <w:tcW w:w="2131" w:type="dxa"/>
            <w:vAlign w:val="center"/>
          </w:tcPr>
          <w:p w14:paraId="5849B947">
            <w:pPr>
              <w:spacing w:line="240" w:lineRule="auto"/>
              <w:ind w:firstLine="0"/>
              <w:jc w:val="center"/>
              <w:rPr>
                <w:rFonts w:hint="eastAsia" w:ascii="黑体" w:hAnsi="黑体" w:eastAsia="黑体"/>
                <w:color w:val="auto"/>
                <w:sz w:val="20"/>
                <w:lang w:val="en-US" w:eastAsia="zh-CN"/>
              </w:rPr>
            </w:pPr>
            <w:r>
              <w:rPr>
                <w:rFonts w:hint="eastAsia" w:ascii="黑体" w:hAnsi="黑体" w:eastAsia="黑体"/>
                <w:color w:val="auto"/>
                <w:sz w:val="20"/>
                <w:lang w:val="en-US" w:eastAsia="zh-CN"/>
              </w:rPr>
              <w:t>0</w:t>
            </w:r>
          </w:p>
        </w:tc>
      </w:tr>
      <w:tr w14:paraId="465C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2771312">
            <w:pPr>
              <w:spacing w:line="240" w:lineRule="auto"/>
              <w:ind w:firstLine="0"/>
              <w:jc w:val="center"/>
              <w:rPr>
                <w:rFonts w:ascii="宋体" w:hAnsi="宋体" w:eastAsia="宋体" w:cs="宋体"/>
                <w:snapToGrid/>
                <w:color w:val="auto"/>
                <w:sz w:val="20"/>
              </w:rPr>
            </w:pPr>
            <w:r>
              <w:rPr>
                <w:rFonts w:hint="eastAsia" w:ascii="宋体" w:hAnsi="宋体" w:eastAsia="宋体" w:cs="宋体"/>
                <w:snapToGrid/>
                <w:color w:val="auto"/>
                <w:sz w:val="20"/>
              </w:rPr>
              <w:t>第二十条第（五）项</w:t>
            </w:r>
          </w:p>
        </w:tc>
      </w:tr>
      <w:tr w14:paraId="2E22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DF93345">
            <w:pPr>
              <w:widowControl/>
              <w:autoSpaceDE/>
              <w:autoSpaceDN/>
              <w:snapToGrid/>
              <w:spacing w:line="240" w:lineRule="auto"/>
              <w:ind w:firstLine="0"/>
              <w:jc w:val="center"/>
              <w:rPr>
                <w:rFonts w:ascii="宋体" w:hAnsi="宋体" w:eastAsia="宋体" w:cs="宋体"/>
                <w:snapToGrid/>
                <w:color w:val="auto"/>
                <w:sz w:val="20"/>
              </w:rPr>
            </w:pPr>
            <w:r>
              <w:rPr>
                <w:rFonts w:hint="eastAsia" w:ascii="宋体" w:hAnsi="宋体" w:eastAsia="宋体" w:cs="宋体"/>
                <w:snapToGrid/>
                <w:color w:val="auto"/>
                <w:sz w:val="20"/>
              </w:rPr>
              <w:t>信息内容</w:t>
            </w:r>
          </w:p>
        </w:tc>
        <w:tc>
          <w:tcPr>
            <w:tcW w:w="6392" w:type="dxa"/>
            <w:gridSpan w:val="3"/>
            <w:vAlign w:val="center"/>
          </w:tcPr>
          <w:p w14:paraId="3AB023BF">
            <w:pPr>
              <w:spacing w:line="240" w:lineRule="auto"/>
              <w:ind w:firstLine="0"/>
              <w:jc w:val="center"/>
              <w:rPr>
                <w:rFonts w:ascii="黑体" w:hAnsi="黑体" w:eastAsia="黑体"/>
                <w:color w:val="auto"/>
                <w:sz w:val="20"/>
              </w:rPr>
            </w:pPr>
            <w:r>
              <w:rPr>
                <w:rFonts w:hint="eastAsia" w:ascii="宋体" w:hAnsi="宋体" w:eastAsia="宋体" w:cs="宋体"/>
                <w:snapToGrid/>
                <w:color w:val="auto"/>
                <w:sz w:val="20"/>
              </w:rPr>
              <w:t>本年处理决定数量</w:t>
            </w:r>
          </w:p>
        </w:tc>
      </w:tr>
      <w:tr w14:paraId="38D5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520B6EE">
            <w:pPr>
              <w:widowControl/>
              <w:autoSpaceDE/>
              <w:autoSpaceDN/>
              <w:snapToGrid/>
              <w:spacing w:line="240" w:lineRule="auto"/>
              <w:ind w:firstLine="0"/>
              <w:rPr>
                <w:rFonts w:ascii="宋体" w:hAnsi="宋体" w:eastAsia="宋体" w:cs="宋体"/>
                <w:snapToGrid/>
                <w:color w:val="auto"/>
                <w:sz w:val="20"/>
              </w:rPr>
            </w:pPr>
            <w:r>
              <w:rPr>
                <w:rFonts w:hint="eastAsia" w:ascii="宋体" w:hAnsi="宋体" w:eastAsia="宋体" w:cs="宋体"/>
                <w:snapToGrid/>
                <w:color w:val="auto"/>
                <w:sz w:val="20"/>
                <w:highlight w:val="none"/>
                <w:shd w:val="clear"/>
              </w:rPr>
              <w:t>行政许可</w:t>
            </w:r>
          </w:p>
        </w:tc>
        <w:tc>
          <w:tcPr>
            <w:tcW w:w="6392" w:type="dxa"/>
            <w:gridSpan w:val="3"/>
            <w:vAlign w:val="center"/>
          </w:tcPr>
          <w:p w14:paraId="5A739908">
            <w:pPr>
              <w:spacing w:line="240" w:lineRule="auto"/>
              <w:ind w:firstLine="0"/>
              <w:jc w:val="center"/>
              <w:rPr>
                <w:rFonts w:hint="default" w:ascii="黑体" w:hAnsi="黑体" w:eastAsia="黑体"/>
                <w:color w:val="auto"/>
                <w:sz w:val="20"/>
                <w:lang w:val="en-US" w:eastAsia="zh-CN"/>
              </w:rPr>
            </w:pPr>
            <w:r>
              <w:rPr>
                <w:rFonts w:hint="eastAsia" w:ascii="黑体" w:hAnsi="黑体" w:eastAsia="黑体"/>
                <w:color w:val="auto"/>
                <w:sz w:val="20"/>
                <w:lang w:val="en-US" w:eastAsia="zh-CN"/>
              </w:rPr>
              <w:t>54</w:t>
            </w:r>
          </w:p>
        </w:tc>
      </w:tr>
      <w:tr w14:paraId="55DD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0E632AF">
            <w:pPr>
              <w:spacing w:line="240" w:lineRule="auto"/>
              <w:ind w:firstLine="0"/>
              <w:jc w:val="center"/>
              <w:rPr>
                <w:rFonts w:ascii="宋体" w:hAnsi="宋体" w:eastAsia="宋体" w:cs="宋体"/>
                <w:snapToGrid/>
                <w:color w:val="auto"/>
                <w:sz w:val="20"/>
              </w:rPr>
            </w:pPr>
            <w:r>
              <w:rPr>
                <w:rFonts w:hint="eastAsia" w:ascii="宋体" w:hAnsi="宋体" w:eastAsia="宋体" w:cs="宋体"/>
                <w:snapToGrid/>
                <w:color w:val="auto"/>
                <w:sz w:val="20"/>
              </w:rPr>
              <w:t>第二十条第（六）项</w:t>
            </w:r>
          </w:p>
        </w:tc>
      </w:tr>
      <w:tr w14:paraId="14ED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DD842BD">
            <w:pPr>
              <w:widowControl/>
              <w:autoSpaceDE/>
              <w:autoSpaceDN/>
              <w:snapToGrid/>
              <w:spacing w:line="240" w:lineRule="auto"/>
              <w:ind w:firstLine="0"/>
              <w:jc w:val="center"/>
              <w:rPr>
                <w:rFonts w:ascii="宋体" w:hAnsi="宋体" w:eastAsia="宋体" w:cs="宋体"/>
                <w:snapToGrid/>
                <w:color w:val="auto"/>
                <w:sz w:val="20"/>
              </w:rPr>
            </w:pPr>
            <w:r>
              <w:rPr>
                <w:rFonts w:hint="eastAsia" w:ascii="宋体" w:hAnsi="宋体" w:eastAsia="宋体" w:cs="宋体"/>
                <w:snapToGrid/>
                <w:color w:val="auto"/>
                <w:sz w:val="20"/>
              </w:rPr>
              <w:t>信息内容</w:t>
            </w:r>
          </w:p>
        </w:tc>
        <w:tc>
          <w:tcPr>
            <w:tcW w:w="6392" w:type="dxa"/>
            <w:gridSpan w:val="3"/>
            <w:vAlign w:val="center"/>
          </w:tcPr>
          <w:p w14:paraId="76DCED92">
            <w:pPr>
              <w:spacing w:line="240" w:lineRule="auto"/>
              <w:ind w:firstLine="0"/>
              <w:jc w:val="center"/>
              <w:rPr>
                <w:rFonts w:ascii="黑体" w:hAnsi="黑体" w:eastAsia="黑体"/>
                <w:color w:val="auto"/>
                <w:sz w:val="20"/>
              </w:rPr>
            </w:pPr>
            <w:r>
              <w:rPr>
                <w:rFonts w:hint="eastAsia" w:ascii="宋体" w:hAnsi="宋体" w:eastAsia="宋体" w:cs="宋体"/>
                <w:snapToGrid/>
                <w:color w:val="auto"/>
                <w:sz w:val="20"/>
              </w:rPr>
              <w:t>本年处理决定数量</w:t>
            </w:r>
          </w:p>
        </w:tc>
      </w:tr>
      <w:tr w14:paraId="6E84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A1EAFBD">
            <w:pPr>
              <w:widowControl/>
              <w:autoSpaceDE/>
              <w:autoSpaceDN/>
              <w:snapToGrid/>
              <w:spacing w:line="240" w:lineRule="auto"/>
              <w:ind w:firstLine="0"/>
              <w:rPr>
                <w:rFonts w:ascii="宋体" w:hAnsi="宋体" w:eastAsia="宋体" w:cs="宋体"/>
                <w:snapToGrid/>
                <w:color w:val="auto"/>
                <w:sz w:val="20"/>
              </w:rPr>
            </w:pPr>
            <w:r>
              <w:rPr>
                <w:rFonts w:hint="eastAsia" w:ascii="宋体" w:hAnsi="宋体" w:eastAsia="宋体" w:cs="宋体"/>
                <w:snapToGrid/>
                <w:color w:val="auto"/>
                <w:sz w:val="20"/>
                <w:highlight w:val="none"/>
              </w:rPr>
              <w:t>行政处罚</w:t>
            </w:r>
          </w:p>
        </w:tc>
        <w:tc>
          <w:tcPr>
            <w:tcW w:w="6392" w:type="dxa"/>
            <w:gridSpan w:val="3"/>
            <w:vAlign w:val="center"/>
          </w:tcPr>
          <w:p w14:paraId="6B2A5C6C">
            <w:pPr>
              <w:spacing w:line="240" w:lineRule="auto"/>
              <w:ind w:firstLine="0"/>
              <w:jc w:val="center"/>
              <w:rPr>
                <w:rFonts w:hint="default" w:ascii="黑体" w:hAnsi="黑体" w:eastAsia="黑体"/>
                <w:color w:val="auto"/>
                <w:sz w:val="20"/>
                <w:lang w:val="en-US" w:eastAsia="zh-CN"/>
              </w:rPr>
            </w:pPr>
            <w:r>
              <w:rPr>
                <w:rFonts w:hint="eastAsia" w:ascii="黑体" w:hAnsi="黑体" w:eastAsia="黑体"/>
                <w:color w:val="auto"/>
                <w:sz w:val="20"/>
                <w:lang w:val="en-US" w:eastAsia="zh-CN"/>
              </w:rPr>
              <w:t>34</w:t>
            </w:r>
          </w:p>
        </w:tc>
      </w:tr>
      <w:tr w14:paraId="437E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A7B15DE">
            <w:pPr>
              <w:widowControl/>
              <w:autoSpaceDE/>
              <w:autoSpaceDN/>
              <w:snapToGrid/>
              <w:spacing w:line="240" w:lineRule="auto"/>
              <w:ind w:firstLine="0"/>
              <w:rPr>
                <w:rFonts w:ascii="宋体" w:hAnsi="宋体" w:eastAsia="宋体" w:cs="宋体"/>
                <w:snapToGrid/>
                <w:color w:val="auto"/>
                <w:sz w:val="20"/>
              </w:rPr>
            </w:pPr>
            <w:r>
              <w:rPr>
                <w:rFonts w:hint="eastAsia" w:ascii="宋体" w:hAnsi="宋体" w:eastAsia="宋体" w:cs="宋体"/>
                <w:snapToGrid/>
                <w:color w:val="auto"/>
                <w:sz w:val="20"/>
                <w:highlight w:val="none"/>
              </w:rPr>
              <w:t>行政强制</w:t>
            </w:r>
          </w:p>
        </w:tc>
        <w:tc>
          <w:tcPr>
            <w:tcW w:w="6392" w:type="dxa"/>
            <w:gridSpan w:val="3"/>
            <w:vAlign w:val="center"/>
          </w:tcPr>
          <w:p w14:paraId="1D0B0FDA">
            <w:pPr>
              <w:spacing w:line="240" w:lineRule="auto"/>
              <w:ind w:firstLine="0"/>
              <w:jc w:val="center"/>
              <w:rPr>
                <w:rFonts w:hint="eastAsia" w:ascii="黑体" w:hAnsi="黑体" w:eastAsia="黑体"/>
                <w:color w:val="auto"/>
                <w:sz w:val="20"/>
                <w:lang w:val="en-US" w:eastAsia="zh-CN"/>
              </w:rPr>
            </w:pPr>
            <w:r>
              <w:rPr>
                <w:rFonts w:hint="eastAsia" w:ascii="黑体" w:hAnsi="黑体" w:eastAsia="黑体"/>
                <w:color w:val="auto"/>
                <w:sz w:val="20"/>
                <w:lang w:val="en-US" w:eastAsia="zh-CN"/>
              </w:rPr>
              <w:t>0</w:t>
            </w:r>
          </w:p>
        </w:tc>
      </w:tr>
      <w:tr w14:paraId="2991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B2B8C30">
            <w:pPr>
              <w:spacing w:line="240" w:lineRule="auto"/>
              <w:ind w:firstLine="0"/>
              <w:jc w:val="center"/>
              <w:rPr>
                <w:rFonts w:ascii="宋体" w:hAnsi="宋体" w:eastAsia="宋体" w:cs="宋体"/>
                <w:snapToGrid/>
                <w:color w:val="auto"/>
                <w:sz w:val="20"/>
              </w:rPr>
            </w:pPr>
            <w:r>
              <w:rPr>
                <w:rFonts w:hint="eastAsia" w:ascii="宋体" w:hAnsi="宋体" w:eastAsia="宋体" w:cs="宋体"/>
                <w:snapToGrid/>
                <w:color w:val="auto"/>
                <w:sz w:val="20"/>
              </w:rPr>
              <w:t>第二十条第（八）项</w:t>
            </w:r>
          </w:p>
        </w:tc>
      </w:tr>
      <w:tr w14:paraId="0357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F7F5D02">
            <w:pPr>
              <w:widowControl/>
              <w:autoSpaceDE/>
              <w:autoSpaceDN/>
              <w:snapToGrid/>
              <w:spacing w:line="240" w:lineRule="auto"/>
              <w:ind w:firstLine="0"/>
              <w:jc w:val="center"/>
              <w:rPr>
                <w:rFonts w:ascii="宋体" w:hAnsi="宋体" w:eastAsia="宋体" w:cs="宋体"/>
                <w:snapToGrid/>
                <w:color w:val="auto"/>
                <w:sz w:val="20"/>
              </w:rPr>
            </w:pPr>
            <w:r>
              <w:rPr>
                <w:rFonts w:hint="eastAsia" w:ascii="宋体" w:hAnsi="宋体" w:eastAsia="宋体" w:cs="宋体"/>
                <w:snapToGrid/>
                <w:color w:val="auto"/>
                <w:sz w:val="20"/>
              </w:rPr>
              <w:t>信息内容</w:t>
            </w:r>
          </w:p>
        </w:tc>
        <w:tc>
          <w:tcPr>
            <w:tcW w:w="6392" w:type="dxa"/>
            <w:gridSpan w:val="3"/>
            <w:vAlign w:val="center"/>
          </w:tcPr>
          <w:p w14:paraId="4818BB08">
            <w:pPr>
              <w:spacing w:line="240" w:lineRule="auto"/>
              <w:ind w:firstLine="0"/>
              <w:jc w:val="center"/>
              <w:rPr>
                <w:rFonts w:ascii="黑体" w:hAnsi="黑体" w:eastAsia="黑体"/>
                <w:color w:val="auto"/>
                <w:sz w:val="20"/>
              </w:rPr>
            </w:pPr>
            <w:r>
              <w:rPr>
                <w:rFonts w:hint="eastAsia" w:ascii="宋体" w:hAnsi="宋体" w:eastAsia="宋体" w:cs="宋体"/>
                <w:snapToGrid/>
                <w:color w:val="auto"/>
                <w:sz w:val="20"/>
              </w:rPr>
              <w:t>本年收费金额（单位：万元）</w:t>
            </w:r>
          </w:p>
        </w:tc>
      </w:tr>
      <w:tr w14:paraId="2CD3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EDAFA0F">
            <w:pPr>
              <w:widowControl/>
              <w:autoSpaceDE/>
              <w:autoSpaceDN/>
              <w:snapToGrid/>
              <w:spacing w:line="240" w:lineRule="auto"/>
              <w:ind w:firstLine="0"/>
              <w:rPr>
                <w:rFonts w:ascii="宋体" w:hAnsi="宋体" w:eastAsia="宋体" w:cs="宋体"/>
                <w:snapToGrid/>
                <w:color w:val="auto"/>
                <w:sz w:val="20"/>
              </w:rPr>
            </w:pPr>
            <w:r>
              <w:rPr>
                <w:rFonts w:hint="eastAsia" w:ascii="宋体" w:hAnsi="宋体" w:eastAsia="宋体" w:cs="宋体"/>
                <w:snapToGrid/>
                <w:color w:val="auto"/>
                <w:sz w:val="20"/>
                <w:highlight w:val="none"/>
              </w:rPr>
              <w:t>行政事业性收费</w:t>
            </w:r>
          </w:p>
        </w:tc>
        <w:tc>
          <w:tcPr>
            <w:tcW w:w="6392" w:type="dxa"/>
            <w:gridSpan w:val="3"/>
            <w:vAlign w:val="center"/>
          </w:tcPr>
          <w:p w14:paraId="7142D2A6">
            <w:pPr>
              <w:spacing w:line="240" w:lineRule="auto"/>
              <w:ind w:firstLine="0"/>
              <w:jc w:val="center"/>
              <w:rPr>
                <w:rFonts w:hint="eastAsia" w:ascii="黑体" w:hAnsi="黑体" w:eastAsia="黑体"/>
                <w:color w:val="auto"/>
                <w:sz w:val="20"/>
                <w:lang w:val="en-US" w:eastAsia="zh-CN"/>
              </w:rPr>
            </w:pPr>
            <w:r>
              <w:rPr>
                <w:rFonts w:hint="eastAsia" w:ascii="黑体" w:hAnsi="黑体" w:eastAsia="黑体"/>
                <w:color w:val="auto"/>
                <w:sz w:val="20"/>
                <w:lang w:val="en-US" w:eastAsia="zh-CN"/>
              </w:rPr>
              <w:t>0</w:t>
            </w:r>
          </w:p>
        </w:tc>
      </w:tr>
    </w:tbl>
    <w:p w14:paraId="48F5B2F3">
      <w:pPr>
        <w:spacing w:line="240" w:lineRule="auto"/>
        <w:ind w:firstLine="0"/>
        <w:rPr>
          <w:rFonts w:ascii="黑体" w:hAnsi="黑体" w:eastAsia="黑体"/>
          <w:color w:val="auto"/>
          <w:sz w:val="30"/>
          <w:szCs w:val="30"/>
        </w:rPr>
      </w:pPr>
    </w:p>
    <w:p w14:paraId="0131D604">
      <w:pPr>
        <w:spacing w:line="240" w:lineRule="auto"/>
        <w:ind w:firstLine="0"/>
        <w:rPr>
          <w:rFonts w:ascii="黑体" w:hAnsi="黑体" w:eastAsia="黑体"/>
          <w:color w:val="auto"/>
          <w:sz w:val="30"/>
          <w:szCs w:val="30"/>
        </w:rPr>
      </w:pPr>
    </w:p>
    <w:p w14:paraId="69E6388F">
      <w:pPr>
        <w:spacing w:line="240" w:lineRule="auto"/>
        <w:ind w:firstLine="0"/>
        <w:rPr>
          <w:rFonts w:ascii="黑体" w:hAnsi="黑体" w:eastAsia="黑体"/>
          <w:color w:val="auto"/>
          <w:sz w:val="30"/>
          <w:szCs w:val="30"/>
        </w:rPr>
      </w:pPr>
    </w:p>
    <w:p w14:paraId="745CAA44">
      <w:pPr>
        <w:spacing w:line="240" w:lineRule="auto"/>
        <w:ind w:firstLine="0"/>
        <w:rPr>
          <w:rFonts w:ascii="黑体" w:hAnsi="黑体" w:eastAsia="黑体"/>
          <w:color w:val="auto"/>
          <w:sz w:val="30"/>
          <w:szCs w:val="30"/>
        </w:rPr>
      </w:pPr>
    </w:p>
    <w:p w14:paraId="67D345A2">
      <w:pPr>
        <w:spacing w:line="240" w:lineRule="auto"/>
        <w:ind w:firstLine="0"/>
        <w:rPr>
          <w:rFonts w:ascii="黑体" w:hAnsi="黑体" w:eastAsia="黑体"/>
          <w:color w:val="auto"/>
          <w:sz w:val="30"/>
          <w:szCs w:val="30"/>
        </w:rPr>
      </w:pPr>
    </w:p>
    <w:p w14:paraId="351C5380">
      <w:pPr>
        <w:spacing w:line="240" w:lineRule="auto"/>
        <w:ind w:firstLine="0"/>
        <w:rPr>
          <w:rFonts w:ascii="黑体" w:hAnsi="黑体" w:eastAsia="黑体"/>
          <w:color w:val="auto"/>
          <w:sz w:val="30"/>
          <w:szCs w:val="30"/>
        </w:rPr>
      </w:pPr>
    </w:p>
    <w:p w14:paraId="0B79F307">
      <w:pPr>
        <w:spacing w:line="240" w:lineRule="auto"/>
        <w:ind w:firstLine="0"/>
        <w:rPr>
          <w:rFonts w:ascii="黑体" w:hAnsi="黑体" w:eastAsia="黑体"/>
          <w:color w:val="auto"/>
          <w:sz w:val="30"/>
          <w:szCs w:val="30"/>
        </w:rPr>
      </w:pPr>
    </w:p>
    <w:p w14:paraId="6D77F446">
      <w:pPr>
        <w:spacing w:line="240" w:lineRule="auto"/>
        <w:ind w:firstLine="0"/>
        <w:rPr>
          <w:rFonts w:ascii="黑体" w:hAnsi="黑体" w:eastAsia="黑体"/>
          <w:color w:val="auto"/>
          <w:sz w:val="30"/>
          <w:szCs w:val="30"/>
        </w:rPr>
      </w:pPr>
    </w:p>
    <w:p w14:paraId="4B96DAAC">
      <w:pPr>
        <w:spacing w:line="240" w:lineRule="auto"/>
        <w:ind w:firstLine="0"/>
        <w:rPr>
          <w:rFonts w:ascii="黑体" w:hAnsi="黑体" w:eastAsia="黑体"/>
          <w:color w:val="auto"/>
          <w:sz w:val="30"/>
          <w:szCs w:val="30"/>
        </w:rPr>
      </w:pPr>
    </w:p>
    <w:p w14:paraId="7A0A2AA9">
      <w:pPr>
        <w:spacing w:line="240" w:lineRule="auto"/>
        <w:ind w:firstLine="0"/>
        <w:rPr>
          <w:rFonts w:ascii="黑体" w:hAnsi="黑体" w:eastAsia="黑体"/>
          <w:color w:val="auto"/>
          <w:sz w:val="30"/>
          <w:szCs w:val="30"/>
        </w:rPr>
      </w:pPr>
    </w:p>
    <w:p w14:paraId="43A927E3">
      <w:pPr>
        <w:spacing w:after="156" w:afterLines="50" w:line="240" w:lineRule="auto"/>
        <w:ind w:firstLine="640" w:firstLineChars="200"/>
        <w:rPr>
          <w:rFonts w:ascii="黑体" w:hAnsi="黑体" w:eastAsia="黑体"/>
          <w:color w:val="auto"/>
          <w:szCs w:val="32"/>
        </w:rPr>
      </w:pPr>
      <w:r>
        <w:rPr>
          <w:rFonts w:hint="eastAsia" w:ascii="黑体" w:hAnsi="黑体" w:eastAsia="黑体"/>
          <w:color w:val="auto"/>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0E1C203D">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3F5BACDC">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楷体" w:hAnsi="楷体" w:eastAsia="楷体" w:cs="宋体"/>
                <w:snapToGrid/>
                <w:color w:val="auto"/>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6E2C874">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申请人情况</w:t>
            </w:r>
          </w:p>
        </w:tc>
      </w:tr>
      <w:tr w14:paraId="4CCBD02B">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7576D324">
            <w:pPr>
              <w:widowControl/>
              <w:autoSpaceDE/>
              <w:autoSpaceDN/>
              <w:snapToGrid/>
              <w:spacing w:line="240" w:lineRule="auto"/>
              <w:ind w:firstLine="0"/>
              <w:jc w:val="left"/>
              <w:rPr>
                <w:rFonts w:ascii="宋体" w:hAnsi="宋体" w:eastAsia="宋体" w:cs="宋体"/>
                <w:snapToGrid/>
                <w:color w:val="auto"/>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4F88729D">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FB10457">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42C1E0B2">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总计</w:t>
            </w:r>
          </w:p>
        </w:tc>
      </w:tr>
      <w:tr w14:paraId="65869D16">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5ADDC737">
            <w:pPr>
              <w:widowControl/>
              <w:autoSpaceDE/>
              <w:autoSpaceDN/>
              <w:snapToGrid/>
              <w:spacing w:line="240" w:lineRule="auto"/>
              <w:ind w:firstLine="0"/>
              <w:jc w:val="left"/>
              <w:rPr>
                <w:rFonts w:ascii="宋体" w:hAnsi="宋体" w:eastAsia="宋体" w:cs="宋体"/>
                <w:snapToGrid/>
                <w:color w:val="auto"/>
                <w:sz w:val="24"/>
                <w:szCs w:val="24"/>
              </w:rPr>
            </w:pPr>
          </w:p>
        </w:tc>
        <w:tc>
          <w:tcPr>
            <w:tcW w:w="850" w:type="dxa"/>
            <w:vMerge w:val="continue"/>
            <w:tcBorders>
              <w:top w:val="nil"/>
              <w:left w:val="nil"/>
              <w:bottom w:val="single" w:color="auto" w:sz="8" w:space="0"/>
              <w:right w:val="single" w:color="auto" w:sz="8" w:space="0"/>
            </w:tcBorders>
            <w:vAlign w:val="center"/>
          </w:tcPr>
          <w:p w14:paraId="5BB950FF">
            <w:pPr>
              <w:widowControl/>
              <w:autoSpaceDE/>
              <w:autoSpaceDN/>
              <w:snapToGrid/>
              <w:spacing w:line="240" w:lineRule="auto"/>
              <w:ind w:firstLine="0"/>
              <w:jc w:val="left"/>
              <w:rPr>
                <w:rFonts w:ascii="宋体" w:hAnsi="宋体" w:eastAsia="宋体" w:cs="宋体"/>
                <w:snapToGrid/>
                <w:color w:val="auto"/>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73874F">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商业</w:t>
            </w:r>
          </w:p>
          <w:p w14:paraId="7045EBF0">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CD88A4">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科研</w:t>
            </w:r>
          </w:p>
          <w:p w14:paraId="3067BF71">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041077E">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7599CA6">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748DDD5">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7D066159">
            <w:pPr>
              <w:widowControl/>
              <w:autoSpaceDE/>
              <w:autoSpaceDN/>
              <w:snapToGrid/>
              <w:spacing w:line="240" w:lineRule="auto"/>
              <w:ind w:firstLine="0"/>
              <w:jc w:val="left"/>
              <w:rPr>
                <w:rFonts w:ascii="宋体" w:hAnsi="宋体" w:eastAsia="宋体" w:cs="宋体"/>
                <w:snapToGrid/>
                <w:color w:val="auto"/>
                <w:sz w:val="24"/>
                <w:szCs w:val="24"/>
              </w:rPr>
            </w:pPr>
          </w:p>
        </w:tc>
      </w:tr>
      <w:tr w14:paraId="03000C8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298C74B">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538136E">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Calibri" w:hAnsi="Calibri" w:eastAsia="宋体" w:cs="Calibri"/>
                <w:snapToGrid/>
                <w:color w:val="auto"/>
                <w:sz w:val="20"/>
                <w:lang w:val="en-US" w:eastAsia="zh-CN"/>
              </w:rPr>
              <w:t>2</w:t>
            </w:r>
            <w:r>
              <w:rPr>
                <w:rFonts w:ascii="Calibri" w:hAnsi="Calibri" w:eastAsia="宋体" w:cs="Calibri"/>
                <w:snapToGrid/>
                <w:color w:val="auto"/>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8BF5D5">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58B62D">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8EE2CA3">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6269F63">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4A7BAF">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5AD0F6D">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hint="eastAsia" w:eastAsia="宋体"/>
                <w:snapToGrid/>
                <w:color w:val="auto"/>
                <w:sz w:val="20"/>
                <w:lang w:val="en-US" w:eastAsia="zh-CN"/>
              </w:rPr>
              <w:t>2</w:t>
            </w:r>
          </w:p>
        </w:tc>
      </w:tr>
      <w:tr w14:paraId="6382DE7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2A7FFCC">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64ACF54">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04018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09AFC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9F06C5B">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BB6C48D">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658ABC">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BC362B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2593C51A">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735BB5A3">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E4A977F">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A19ABB6">
            <w:pPr>
              <w:widowControl/>
              <w:autoSpaceDE/>
              <w:autoSpaceDN/>
              <w:snapToGrid/>
              <w:spacing w:line="240" w:lineRule="auto"/>
              <w:ind w:firstLine="0" w:firstLineChars="0"/>
              <w:jc w:val="center"/>
              <w:rPr>
                <w:rFonts w:hint="eastAsia" w:ascii="Calibri" w:hAnsi="Calibri" w:eastAsia="宋体" w:cs="Calibri"/>
                <w:snapToGrid/>
                <w:color w:val="auto"/>
                <w:sz w:val="20"/>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7611F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D13411">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495FB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CBDBBCB">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1B4577">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B970756">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6F0BE4E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8143428">
            <w:pPr>
              <w:widowControl/>
              <w:autoSpaceDE/>
              <w:autoSpaceDN/>
              <w:snapToGrid/>
              <w:spacing w:line="240" w:lineRule="auto"/>
              <w:ind w:firstLine="0"/>
              <w:jc w:val="left"/>
              <w:rPr>
                <w:rFonts w:ascii="宋体" w:hAnsi="宋体" w:eastAsia="宋体" w:cs="宋体"/>
                <w:snapToGrid/>
                <w:color w:val="auto"/>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4A286C0">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（二）部分公开</w:t>
            </w:r>
            <w:r>
              <w:rPr>
                <w:rFonts w:hint="eastAsia" w:ascii="楷体" w:hAnsi="楷体" w:eastAsia="楷体" w:cs="宋体"/>
                <w:snapToGrid/>
                <w:color w:val="auto"/>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87D23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654806">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AB6B08">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57E9335">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CAB8A8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22C164">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5CA80D3">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31061C9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4BFA960">
            <w:pPr>
              <w:widowControl/>
              <w:autoSpaceDE/>
              <w:autoSpaceDN/>
              <w:snapToGrid/>
              <w:spacing w:line="240" w:lineRule="auto"/>
              <w:ind w:firstLine="0"/>
              <w:jc w:val="left"/>
              <w:rPr>
                <w:rFonts w:ascii="宋体" w:hAnsi="宋体" w:eastAsia="宋体" w:cs="宋体"/>
                <w:snapToGrid/>
                <w:color w:val="auto"/>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4CB60BC">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5E24200">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275F61">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686771">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C68140">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6C74D47">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F38622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0B1F6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C99C42F">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27B36D2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DA4AC1A">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56D8E68B">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AFC2AE1">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2.其他法</w:t>
            </w:r>
            <w:r>
              <w:rPr>
                <w:rFonts w:hint="eastAsia" w:ascii="宋体" w:hAnsi="宋体" w:eastAsia="宋体" w:cs="宋体"/>
                <w:snapToGrid/>
                <w:color w:val="auto"/>
                <w:sz w:val="20"/>
                <w:lang w:val="en-US" w:eastAsia="zh-CN"/>
              </w:rPr>
              <w:t>律</w:t>
            </w:r>
            <w:r>
              <w:rPr>
                <w:rFonts w:hint="eastAsia" w:ascii="宋体" w:hAnsi="宋体" w:eastAsia="宋体" w:cs="宋体"/>
                <w:snapToGrid/>
                <w:color w:val="auto"/>
                <w:sz w:val="20"/>
              </w:rPr>
              <w:t>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C1D158B">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552EB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CCBE57">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00C2D78">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045753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54ACAA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EC9C49C">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2D74577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90EF7EC">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3A24ADCE">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BC3C6C0">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DE0DEBE">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ascii="Calibri" w:hAnsi="Calibri" w:eastAsia="宋体" w:cs="Calibri"/>
                <w:snapToGrid/>
                <w:color w:val="auto"/>
                <w:sz w:val="20"/>
              </w:rPr>
              <w:t> </w:t>
            </w:r>
            <w:r>
              <w:rPr>
                <w:rFonts w:hint="eastAsia" w:ascii="Calibri" w:hAnsi="Calibri" w:eastAsia="宋体" w:cs="Calibri"/>
                <w:snapToGrid/>
                <w:color w:val="auto"/>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D95C2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D95AA4">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B4CE9EF">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54AF13F">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5031B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2205F64">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11F86E9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059F690">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6AB8DDF6">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777ABB4">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14DFF1B">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ascii="Calibri" w:hAnsi="Calibri" w:eastAsia="宋体" w:cs="Calibri"/>
                <w:snapToGrid/>
                <w:color w:val="auto"/>
                <w:sz w:val="20"/>
              </w:rPr>
              <w:t> </w:t>
            </w:r>
            <w:r>
              <w:rPr>
                <w:rFonts w:hint="eastAsia" w:ascii="Calibri" w:hAnsi="Calibri" w:eastAsia="宋体" w:cs="Calibri"/>
                <w:snapToGrid/>
                <w:color w:val="auto"/>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2CE70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5FBFC5">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BBBC43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F45600F">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0D4A1F">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46FF235">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6F6F319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FA41D1B">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5211A0FA">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C8560E3">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6B75181">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ascii="Calibri" w:hAnsi="Calibri" w:eastAsia="宋体" w:cs="Calibri"/>
                <w:snapToGrid/>
                <w:color w:val="auto"/>
                <w:sz w:val="20"/>
              </w:rPr>
              <w:t> </w:t>
            </w:r>
            <w:r>
              <w:rPr>
                <w:rFonts w:hint="eastAsia" w:ascii="Calibri" w:hAnsi="Calibri" w:eastAsia="宋体" w:cs="Calibri"/>
                <w:snapToGrid/>
                <w:color w:val="auto"/>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419374">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A2FAF3">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0A0B72F">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AABB3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4B0F8E3">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D8A3D9">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05BB493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CC60B6B">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5F263E9C">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43FD530">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12AB9138">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ascii="Calibri" w:hAnsi="Calibri" w:eastAsia="宋体" w:cs="Calibri"/>
                <w:snapToGrid/>
                <w:color w:val="auto"/>
                <w:sz w:val="20"/>
              </w:rPr>
              <w:t> </w:t>
            </w:r>
            <w:r>
              <w:rPr>
                <w:rFonts w:hint="eastAsia" w:ascii="Calibri" w:hAnsi="Calibri" w:eastAsia="宋体" w:cs="Calibri"/>
                <w:snapToGrid/>
                <w:color w:val="auto"/>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5C7B3C">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BFDCF0C">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26E159">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9CE2477">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4B1040">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53ACA5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59A9D2F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392BC08">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0ABBB136">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7674EC0">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45D6D000">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ascii="Calibri" w:hAnsi="Calibri" w:eastAsia="宋体" w:cs="Calibri"/>
                <w:snapToGrid/>
                <w:color w:val="auto"/>
                <w:sz w:val="20"/>
              </w:rPr>
              <w:t> </w:t>
            </w:r>
            <w:r>
              <w:rPr>
                <w:rFonts w:hint="eastAsia" w:ascii="Calibri" w:hAnsi="Calibri" w:eastAsia="宋体" w:cs="Calibri"/>
                <w:snapToGrid/>
                <w:color w:val="auto"/>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0142AB">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47171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3598FC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A3F7393">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85446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51526B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3426E0D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3D3D19">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6F7DB905">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9516130">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1854A8DA">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ascii="Calibri" w:hAnsi="Calibri" w:eastAsia="宋体" w:cs="Calibri"/>
                <w:snapToGrid/>
                <w:color w:val="auto"/>
                <w:sz w:val="20"/>
              </w:rPr>
              <w:t> </w:t>
            </w:r>
            <w:r>
              <w:rPr>
                <w:rFonts w:hint="eastAsia" w:ascii="Calibri" w:hAnsi="Calibri" w:eastAsia="宋体" w:cs="Calibri"/>
                <w:snapToGrid/>
                <w:color w:val="auto"/>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9CD2D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D545D1">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3640F8">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490DC1">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C0B7C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782989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34D2773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6141025">
            <w:pPr>
              <w:widowControl/>
              <w:autoSpaceDE/>
              <w:autoSpaceDN/>
              <w:snapToGrid/>
              <w:spacing w:line="240" w:lineRule="auto"/>
              <w:ind w:firstLine="0"/>
              <w:jc w:val="left"/>
              <w:rPr>
                <w:rFonts w:ascii="宋体" w:hAnsi="宋体" w:eastAsia="宋体" w:cs="宋体"/>
                <w:snapToGrid/>
                <w:color w:val="auto"/>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B1F84B4">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0FBB4BC">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7BB2D4C">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hint="eastAsia" w:ascii="Calibri" w:hAnsi="Calibri" w:eastAsia="宋体" w:cs="Calibri"/>
                <w:snapToGrid/>
                <w:color w:val="auto"/>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5A7191">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9DF954">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20CFBA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63216C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FFA88D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B4503AA">
            <w:pPr>
              <w:widowControl/>
              <w:autoSpaceDE/>
              <w:autoSpaceDN/>
              <w:snapToGrid/>
              <w:spacing w:line="240" w:lineRule="auto"/>
              <w:ind w:firstLine="0" w:firstLineChars="0"/>
              <w:jc w:val="center"/>
              <w:rPr>
                <w:rFonts w:hint="eastAsia" w:ascii="宋体" w:hAnsi="宋体" w:eastAsia="宋体" w:cs="宋体"/>
                <w:snapToGrid/>
                <w:color w:val="auto"/>
                <w:sz w:val="24"/>
                <w:szCs w:val="24"/>
                <w:lang w:eastAsia="zh-CN"/>
              </w:rPr>
            </w:pPr>
            <w:r>
              <w:rPr>
                <w:rFonts w:hint="eastAsia" w:eastAsia="宋体"/>
                <w:snapToGrid/>
                <w:color w:val="auto"/>
                <w:sz w:val="20"/>
                <w:lang w:val="en-US" w:eastAsia="zh-CN"/>
              </w:rPr>
              <w:t>2</w:t>
            </w:r>
          </w:p>
        </w:tc>
      </w:tr>
      <w:tr w14:paraId="303E731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7D9F7F4">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08C83F2C">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CF829B5">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D425DE3">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E9A99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57FE7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67946F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A8617F5">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0634F5">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A08A7F5">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3BE343A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0FE90C0">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2EDC1574">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80B2A88">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A4BC094">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B6276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AB0FE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D6790A9">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5D0B00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107E8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C31D269">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2FA9F80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3E91288">
            <w:pPr>
              <w:widowControl/>
              <w:autoSpaceDE/>
              <w:autoSpaceDN/>
              <w:snapToGrid/>
              <w:spacing w:line="240" w:lineRule="auto"/>
              <w:ind w:firstLine="0"/>
              <w:jc w:val="left"/>
              <w:rPr>
                <w:rFonts w:ascii="宋体" w:hAnsi="宋体" w:eastAsia="宋体" w:cs="宋体"/>
                <w:snapToGrid/>
                <w:color w:val="auto"/>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4D372BD">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E91AE36">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0F1D514">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D4A006">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0E955E0">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24E1EF1">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FEA216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75910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C6CE83C">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6730EA3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CF00F9">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37034868">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26FC1A0">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1CFA9B6">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83F4B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A64756">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6994081">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521969C">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94728C">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678BE9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02C395E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E1F5B40">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5361AF63">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85AA3E5">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B15B311">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89CBA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BDE8D1">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8C9EE9">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19F99FF">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F322B7">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30BE5BC">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5713312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C4AE97E">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2125C633">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D94E2D">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14C9CDA">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2C2AB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96206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AD100F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7205E9F">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35DF30">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47F67A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67E5EFA5">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3D5025BC">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nil"/>
              <w:bottom w:val="inset" w:color="auto" w:sz="8" w:space="0"/>
              <w:right w:val="single" w:color="auto" w:sz="8" w:space="0"/>
            </w:tcBorders>
            <w:vAlign w:val="center"/>
          </w:tcPr>
          <w:p w14:paraId="6D86D2E2">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78C31386">
            <w:pPr>
              <w:widowControl/>
              <w:autoSpaceDE/>
              <w:autoSpaceDN/>
              <w:snapToGrid/>
              <w:spacing w:line="240" w:lineRule="auto"/>
              <w:ind w:firstLine="0"/>
              <w:rPr>
                <w:rFonts w:ascii="宋体" w:hAnsi="宋体" w:eastAsia="宋体" w:cs="宋体"/>
                <w:snapToGrid/>
                <w:color w:val="auto"/>
                <w:sz w:val="24"/>
                <w:szCs w:val="24"/>
              </w:rPr>
            </w:pPr>
            <w:r>
              <w:rPr>
                <w:rFonts w:hint="eastAsia" w:ascii="宋体" w:hAnsi="宋体" w:eastAsia="宋体" w:cs="宋体"/>
                <w:snapToGrid/>
                <w:color w:val="auto"/>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6AEDE5E7">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6C0F416C">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F15D139">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176C1808">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4104695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1E6501F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381EF84D">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r>
      <w:tr w14:paraId="4AE5725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9AD6529">
            <w:pPr>
              <w:widowControl/>
              <w:autoSpaceDE/>
              <w:autoSpaceDN/>
              <w:snapToGrid/>
              <w:spacing w:line="240" w:lineRule="auto"/>
              <w:ind w:firstLine="0"/>
              <w:jc w:val="left"/>
              <w:rPr>
                <w:rFonts w:ascii="宋体" w:hAnsi="宋体" w:eastAsia="宋体" w:cs="宋体"/>
                <w:snapToGrid/>
                <w:color w:val="auto"/>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04DE7E7D">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49A5693">
            <w:pPr>
              <w:widowControl/>
              <w:autoSpaceDE/>
              <w:autoSpaceDN/>
              <w:snapToGrid/>
              <w:spacing w:line="240" w:lineRule="auto"/>
              <w:ind w:firstLine="0"/>
              <w:rPr>
                <w:rFonts w:ascii="宋体" w:hAnsi="宋体" w:eastAsia="宋体" w:cs="宋体"/>
                <w:snapToGrid/>
                <w:color w:val="auto"/>
                <w:sz w:val="24"/>
                <w:szCs w:val="24"/>
              </w:rPr>
            </w:pPr>
            <w:r>
              <w:rPr>
                <w:rFonts w:hint="eastAsia" w:ascii="宋体" w:hAnsi="宋体" w:eastAsia="宋体" w:cs="宋体"/>
                <w:snapToGrid/>
                <w:color w:val="auto"/>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7B65A9D">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4419A8">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5E50C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3048915">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A155C8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67F749">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B567C6E">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6151687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CE1215">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28FDF03E">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5CF2E3B">
            <w:pPr>
              <w:widowControl/>
              <w:autoSpaceDE/>
              <w:autoSpaceDN/>
              <w:snapToGrid/>
              <w:spacing w:line="240" w:lineRule="auto"/>
              <w:ind w:firstLine="0"/>
              <w:rPr>
                <w:rFonts w:ascii="宋体" w:hAnsi="宋体" w:eastAsia="宋体" w:cs="宋体"/>
                <w:snapToGrid/>
                <w:color w:val="auto"/>
                <w:sz w:val="24"/>
                <w:szCs w:val="24"/>
              </w:rPr>
            </w:pPr>
            <w:r>
              <w:rPr>
                <w:rFonts w:hint="eastAsia" w:ascii="宋体" w:hAnsi="宋体" w:eastAsia="宋体" w:cs="宋体"/>
                <w:snapToGrid/>
                <w:color w:val="auto"/>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880EB3E">
            <w:pPr>
              <w:widowControl/>
              <w:autoSpaceDE/>
              <w:autoSpaceDN/>
              <w:snapToGrid/>
              <w:spacing w:line="240" w:lineRule="auto"/>
              <w:ind w:firstLine="0" w:firstLineChars="0"/>
              <w:jc w:val="center"/>
              <w:rPr>
                <w:rFonts w:hint="eastAsia"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E3C05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DA0893">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EDF6757">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0C0EC9D">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54F83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5044FEC">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r w14:paraId="3E8A444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154678">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71D5F645">
            <w:pPr>
              <w:widowControl/>
              <w:autoSpaceDE/>
              <w:autoSpaceDN/>
              <w:snapToGrid/>
              <w:spacing w:line="240" w:lineRule="auto"/>
              <w:ind w:firstLine="0"/>
              <w:jc w:val="left"/>
              <w:rPr>
                <w:rFonts w:ascii="宋体" w:hAnsi="宋体" w:eastAsia="宋体" w:cs="宋体"/>
                <w:snapToGrid/>
                <w:color w:val="auto"/>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A97DEE1">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0AB7FB2">
            <w:pPr>
              <w:widowControl/>
              <w:autoSpaceDE/>
              <w:autoSpaceDN/>
              <w:snapToGrid/>
              <w:spacing w:line="240" w:lineRule="auto"/>
              <w:ind w:firstLine="0"/>
              <w:jc w:val="center"/>
              <w:rPr>
                <w:rFonts w:hint="default" w:ascii="宋体" w:hAnsi="宋体" w:eastAsia="宋体" w:cs="宋体"/>
                <w:snapToGrid/>
                <w:color w:val="auto"/>
                <w:sz w:val="24"/>
                <w:szCs w:val="24"/>
                <w:lang w:val="en-US" w:eastAsia="zh-CN"/>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4DC260">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551040">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637D9B">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AB1E08B">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B427C5">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5235863">
            <w:pPr>
              <w:widowControl/>
              <w:autoSpaceDE/>
              <w:autoSpaceDN/>
              <w:snapToGrid/>
              <w:spacing w:line="240" w:lineRule="auto"/>
              <w:ind w:firstLine="0" w:firstLineChars="0"/>
              <w:jc w:val="center"/>
              <w:rPr>
                <w:rFonts w:hint="eastAsia" w:ascii="宋体" w:hAnsi="宋体" w:eastAsia="宋体" w:cs="宋体"/>
                <w:snapToGrid/>
                <w:color w:val="auto"/>
                <w:sz w:val="24"/>
                <w:szCs w:val="24"/>
                <w:lang w:eastAsia="zh-CN"/>
              </w:rPr>
            </w:pPr>
            <w:r>
              <w:rPr>
                <w:rFonts w:eastAsia="宋体"/>
                <w:snapToGrid/>
                <w:color w:val="auto"/>
                <w:sz w:val="20"/>
              </w:rPr>
              <w:t>0</w:t>
            </w:r>
          </w:p>
        </w:tc>
      </w:tr>
      <w:tr w14:paraId="603F7AD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14E9960">
            <w:pPr>
              <w:widowControl/>
              <w:autoSpaceDE/>
              <w:autoSpaceDN/>
              <w:snapToGrid/>
              <w:spacing w:line="240" w:lineRule="auto"/>
              <w:ind w:firstLine="0"/>
              <w:jc w:val="left"/>
              <w:rPr>
                <w:rFonts w:ascii="宋体" w:hAnsi="宋体" w:eastAsia="宋体" w:cs="宋体"/>
                <w:snapToGrid/>
                <w:color w:val="auto"/>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7BA96DB">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334364">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ascii="Calibri" w:hAnsi="Calibri" w:eastAsia="宋体" w:cs="Calibri"/>
                <w:snapToGrid/>
                <w:color w:val="auto"/>
                <w:sz w:val="20"/>
              </w:rPr>
              <w:t> </w:t>
            </w:r>
            <w:r>
              <w:rPr>
                <w:rFonts w:hint="eastAsia" w:ascii="Calibri" w:hAnsi="Calibri" w:eastAsia="宋体" w:cs="Calibri"/>
                <w:snapToGrid/>
                <w:color w:val="auto"/>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50C282">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58DD70">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00D2B9">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3075EF3">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997CC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01E6028">
            <w:pPr>
              <w:widowControl/>
              <w:autoSpaceDE/>
              <w:autoSpaceDN/>
              <w:snapToGrid/>
              <w:spacing w:line="240" w:lineRule="auto"/>
              <w:ind w:firstLine="0" w:firstLineChars="0"/>
              <w:jc w:val="center"/>
              <w:rPr>
                <w:rFonts w:hint="eastAsia" w:ascii="宋体" w:hAnsi="宋体" w:eastAsia="宋体" w:cs="宋体"/>
                <w:snapToGrid/>
                <w:color w:val="auto"/>
                <w:sz w:val="24"/>
                <w:szCs w:val="24"/>
                <w:lang w:eastAsia="zh-CN"/>
              </w:rPr>
            </w:pPr>
            <w:r>
              <w:rPr>
                <w:rFonts w:hint="eastAsia" w:eastAsia="宋体"/>
                <w:snapToGrid/>
                <w:color w:val="auto"/>
                <w:sz w:val="20"/>
                <w:lang w:val="en-US" w:eastAsia="zh-CN"/>
              </w:rPr>
              <w:t>2</w:t>
            </w:r>
          </w:p>
        </w:tc>
      </w:tr>
      <w:tr w14:paraId="4FD79606">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4C96AB59">
            <w:pPr>
              <w:widowControl/>
              <w:autoSpaceDE/>
              <w:autoSpaceDN/>
              <w:snapToGrid/>
              <w:spacing w:line="240" w:lineRule="auto"/>
              <w:ind w:firstLine="0"/>
              <w:jc w:val="left"/>
              <w:rPr>
                <w:rFonts w:ascii="宋体" w:hAnsi="宋体" w:eastAsia="宋体" w:cs="宋体"/>
                <w:snapToGrid/>
                <w:color w:val="auto"/>
                <w:sz w:val="24"/>
                <w:szCs w:val="24"/>
              </w:rPr>
            </w:pPr>
            <w:r>
              <w:rPr>
                <w:rFonts w:hint="eastAsia" w:ascii="宋体" w:hAnsi="宋体" w:eastAsia="宋体" w:cs="宋体"/>
                <w:snapToGrid/>
                <w:color w:val="auto"/>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0079F0">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ascii="Calibri" w:hAnsi="Calibri" w:eastAsia="宋体" w:cs="Calibri"/>
                <w:snapToGrid/>
                <w:color w:val="auto"/>
                <w:sz w:val="20"/>
              </w:rPr>
              <w:t> </w:t>
            </w:r>
            <w:r>
              <w:rPr>
                <w:rFonts w:hint="eastAsia" w:ascii="Calibri" w:hAnsi="Calibri" w:eastAsia="宋体" w:cs="Calibri"/>
                <w:snapToGrid/>
                <w:color w:val="auto"/>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F58528">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55D780">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8E1FEB9">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6EDA6D1">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F409E8">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671145A">
            <w:pPr>
              <w:widowControl/>
              <w:autoSpaceDE/>
              <w:autoSpaceDN/>
              <w:snapToGrid/>
              <w:spacing w:line="240" w:lineRule="auto"/>
              <w:ind w:firstLine="0" w:firstLineChars="0"/>
              <w:jc w:val="center"/>
              <w:rPr>
                <w:rFonts w:ascii="宋体" w:hAnsi="宋体" w:eastAsia="宋体" w:cs="宋体"/>
                <w:snapToGrid/>
                <w:color w:val="auto"/>
                <w:sz w:val="24"/>
                <w:szCs w:val="24"/>
              </w:rPr>
            </w:pPr>
            <w:r>
              <w:rPr>
                <w:rFonts w:eastAsia="宋体"/>
                <w:snapToGrid/>
                <w:color w:val="auto"/>
                <w:sz w:val="20"/>
              </w:rPr>
              <w:t>0</w:t>
            </w:r>
          </w:p>
        </w:tc>
      </w:tr>
    </w:tbl>
    <w:p w14:paraId="433AF3A6">
      <w:pPr>
        <w:spacing w:line="240" w:lineRule="auto"/>
        <w:ind w:firstLine="600" w:firstLineChars="200"/>
        <w:rPr>
          <w:rFonts w:ascii="黑体" w:hAnsi="黑体" w:eastAsia="黑体"/>
          <w:color w:val="auto"/>
          <w:sz w:val="30"/>
          <w:szCs w:val="30"/>
        </w:rPr>
      </w:pPr>
    </w:p>
    <w:p w14:paraId="2D3F0A2E">
      <w:pPr>
        <w:spacing w:after="156" w:afterLines="50" w:line="240" w:lineRule="auto"/>
        <w:ind w:firstLine="640" w:firstLineChars="200"/>
        <w:rPr>
          <w:rFonts w:ascii="黑体" w:hAnsi="黑体" w:eastAsia="黑体"/>
          <w:color w:val="auto"/>
          <w:sz w:val="30"/>
          <w:szCs w:val="30"/>
        </w:rPr>
      </w:pPr>
      <w:r>
        <w:rPr>
          <w:rFonts w:hint="eastAsia" w:ascii="黑体" w:hAnsi="黑体" w:eastAsia="黑体"/>
          <w:color w:val="auto"/>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A17196B">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410AEC">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18496C">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行政诉讼</w:t>
            </w:r>
          </w:p>
        </w:tc>
      </w:tr>
      <w:tr w14:paraId="23AC75C1">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FD9E91B">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056F7F">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结果</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0B30A2">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其他</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4D35B4">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尚未</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2E9BB7">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48483E">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5375C9">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复议后起诉</w:t>
            </w:r>
          </w:p>
        </w:tc>
      </w:tr>
      <w:tr w14:paraId="0E6CE1A2">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CA5EFF4">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69BAE6C3">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688214F">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BEE50F6">
            <w:pPr>
              <w:widowControl/>
              <w:autoSpaceDE/>
              <w:autoSpaceDN/>
              <w:snapToGrid/>
              <w:spacing w:line="240" w:lineRule="auto"/>
              <w:ind w:firstLine="0"/>
              <w:jc w:val="left"/>
              <w:rPr>
                <w:rFonts w:ascii="宋体" w:hAnsi="宋体" w:eastAsia="宋体" w:cs="宋体"/>
                <w:snapToGrid/>
                <w:color w:val="auto"/>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1D9364E">
            <w:pPr>
              <w:widowControl/>
              <w:autoSpaceDE/>
              <w:autoSpaceDN/>
              <w:snapToGrid/>
              <w:spacing w:line="240" w:lineRule="auto"/>
              <w:ind w:firstLine="0"/>
              <w:jc w:val="left"/>
              <w:rPr>
                <w:rFonts w:ascii="宋体" w:hAnsi="宋体" w:eastAsia="宋体" w:cs="宋体"/>
                <w:snapToGrid/>
                <w:color w:val="auto"/>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472B9B">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结果</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E5ECD2">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结果</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6F1AC3">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其他</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81A5A6">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尚未</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21A99F">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04C886">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结果</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C0F0C7">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结果</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21CCF4">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其他</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680A16">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尚未</w:t>
            </w:r>
            <w:r>
              <w:rPr>
                <w:rFonts w:hint="eastAsia" w:ascii="宋体" w:hAnsi="宋体" w:eastAsia="宋体" w:cs="宋体"/>
                <w:snapToGrid/>
                <w:color w:val="auto"/>
                <w:sz w:val="20"/>
              </w:rPr>
              <w:br w:type="textWrapping"/>
            </w:r>
            <w:r>
              <w:rPr>
                <w:rFonts w:hint="eastAsia" w:ascii="宋体" w:hAnsi="宋体" w:eastAsia="宋体" w:cs="宋体"/>
                <w:snapToGrid/>
                <w:color w:val="auto"/>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A8B31B">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rPr>
              <w:t>总计</w:t>
            </w:r>
          </w:p>
        </w:tc>
      </w:tr>
      <w:tr w14:paraId="2A804286">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C9AA73E">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0B3ADE">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7E2E0B8">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81FC65">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0C57F3">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6BB0B7">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0E409A">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DD2BA4">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2AD67D">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13D5D78">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A66CE7">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58F732">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3BB5B9">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BD487C">
            <w:pPr>
              <w:widowControl/>
              <w:autoSpaceDE/>
              <w:autoSpaceDN/>
              <w:snapToGrid/>
              <w:spacing w:line="240" w:lineRule="auto"/>
              <w:ind w:firstLine="0"/>
              <w:jc w:val="center"/>
              <w:rPr>
                <w:rFonts w:ascii="宋体" w:hAnsi="宋体" w:eastAsia="宋体" w:cs="宋体"/>
                <w:snapToGrid/>
                <w:color w:val="auto"/>
                <w:sz w:val="24"/>
                <w:szCs w:val="24"/>
              </w:rPr>
            </w:pPr>
            <w:r>
              <w:rPr>
                <w:rFonts w:hint="eastAsia" w:ascii="宋体" w:hAnsi="宋体" w:eastAsia="宋体" w:cs="宋体"/>
                <w:snapToGrid/>
                <w:color w:val="auto"/>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22EE04">
            <w:pPr>
              <w:widowControl/>
              <w:autoSpaceDE/>
              <w:autoSpaceDN/>
              <w:snapToGrid/>
              <w:spacing w:line="240" w:lineRule="auto"/>
              <w:ind w:firstLine="0"/>
              <w:jc w:val="center"/>
              <w:rPr>
                <w:rFonts w:hint="eastAsia" w:ascii="宋体" w:hAnsi="宋体" w:eastAsia="宋体" w:cs="宋体"/>
                <w:snapToGrid/>
                <w:color w:val="auto"/>
                <w:sz w:val="24"/>
                <w:szCs w:val="24"/>
                <w:lang w:val="en-US" w:eastAsia="zh-CN"/>
              </w:rPr>
            </w:pPr>
            <w:r>
              <w:rPr>
                <w:rFonts w:hint="eastAsia" w:ascii="宋体" w:hAnsi="宋体" w:eastAsia="宋体" w:cs="宋体"/>
                <w:snapToGrid/>
                <w:color w:val="auto"/>
                <w:sz w:val="24"/>
                <w:szCs w:val="24"/>
                <w:lang w:val="en-US" w:eastAsia="zh-CN"/>
              </w:rPr>
              <w:t>0</w:t>
            </w:r>
          </w:p>
        </w:tc>
      </w:tr>
    </w:tbl>
    <w:p w14:paraId="4C231ABC">
      <w:pPr>
        <w:spacing w:line="560" w:lineRule="exact"/>
        <w:ind w:firstLine="640" w:firstLineChars="200"/>
        <w:rPr>
          <w:rFonts w:ascii="黑体" w:hAnsi="黑体" w:eastAsia="黑体"/>
          <w:color w:val="auto"/>
          <w:szCs w:val="32"/>
        </w:rPr>
      </w:pPr>
      <w:r>
        <w:rPr>
          <w:rFonts w:hint="eastAsia" w:ascii="黑体" w:hAnsi="黑体" w:eastAsia="黑体"/>
          <w:color w:val="auto"/>
          <w:szCs w:val="32"/>
        </w:rPr>
        <w:t>五、存在的主要问题及改进情况</w:t>
      </w:r>
    </w:p>
    <w:p w14:paraId="70CB8C9E">
      <w:pPr>
        <w:spacing w:line="560" w:lineRule="exact"/>
        <w:ind w:firstLine="600" w:firstLineChars="200"/>
        <w:rPr>
          <w:rFonts w:ascii="楷体_GB2312" w:hAnsi="黑体" w:eastAsia="楷体_GB2312"/>
          <w:color w:val="auto"/>
          <w:sz w:val="30"/>
          <w:szCs w:val="30"/>
        </w:rPr>
      </w:pPr>
      <w:r>
        <w:rPr>
          <w:rFonts w:hint="eastAsia" w:ascii="楷体_GB2312" w:hAnsi="黑体" w:eastAsia="楷体_GB2312"/>
          <w:color w:val="auto"/>
          <w:sz w:val="30"/>
          <w:szCs w:val="30"/>
        </w:rPr>
        <w:t>（一）存在问题</w:t>
      </w:r>
    </w:p>
    <w:p w14:paraId="541F228A">
      <w:pPr>
        <w:spacing w:line="560" w:lineRule="exact"/>
        <w:ind w:firstLine="600" w:firstLineChars="200"/>
        <w:rPr>
          <w:rFonts w:hint="eastAsia" w:ascii="仿宋_GB2312" w:hAnsi="黑体" w:eastAsia="仿宋_GB2312"/>
          <w:color w:val="auto"/>
          <w:sz w:val="30"/>
          <w:szCs w:val="30"/>
          <w:lang w:val="en-US" w:eastAsia="zh-CN"/>
        </w:rPr>
      </w:pPr>
      <w:r>
        <w:rPr>
          <w:rFonts w:hint="eastAsia" w:ascii="仿宋_GB2312" w:hAnsi="黑体" w:eastAsia="仿宋_GB2312"/>
          <w:color w:val="auto"/>
          <w:sz w:val="30"/>
          <w:szCs w:val="30"/>
          <w:lang w:val="en-US" w:eastAsia="zh-CN"/>
        </w:rPr>
        <w:t>一是在政府信息公开工作中，公开时效性仍有待提高。特别是涉及安全生产动态、监管执法结果等公众高度关注的信息，未能做到百分百第一时间整理发布，导致公众、企业和基层单位获取信息不够及时。</w:t>
      </w:r>
    </w:p>
    <w:p w14:paraId="2372E769">
      <w:pPr>
        <w:spacing w:line="560" w:lineRule="exact"/>
        <w:ind w:firstLine="600" w:firstLineChars="200"/>
        <w:rPr>
          <w:rFonts w:hint="default" w:ascii="仿宋_GB2312" w:hAnsi="黑体" w:eastAsia="仿宋_GB2312"/>
          <w:color w:val="auto"/>
          <w:sz w:val="30"/>
          <w:szCs w:val="30"/>
          <w:lang w:val="en-US" w:eastAsia="zh-CN"/>
        </w:rPr>
      </w:pPr>
      <w:r>
        <w:rPr>
          <w:rFonts w:hint="eastAsia" w:ascii="仿宋_GB2312" w:hAnsi="黑体" w:eastAsia="仿宋_GB2312"/>
          <w:color w:val="auto"/>
          <w:sz w:val="30"/>
          <w:szCs w:val="30"/>
          <w:lang w:val="en-US" w:eastAsia="zh-CN"/>
        </w:rPr>
        <w:t>二是信息公开标准化、规范化建设有待深化，同类信息在不同时期或不同科室在格式编排、要素构成、数据口径上存在差异。</w:t>
      </w:r>
    </w:p>
    <w:p w14:paraId="59D094F0">
      <w:pPr>
        <w:spacing w:line="560" w:lineRule="exact"/>
        <w:ind w:firstLine="600" w:firstLineChars="200"/>
        <w:rPr>
          <w:rFonts w:ascii="楷体_GB2312" w:hAnsi="黑体" w:eastAsia="楷体_GB2312"/>
          <w:color w:val="auto"/>
          <w:sz w:val="30"/>
          <w:szCs w:val="30"/>
        </w:rPr>
      </w:pPr>
      <w:r>
        <w:rPr>
          <w:rFonts w:hint="eastAsia" w:ascii="楷体_GB2312" w:hAnsi="黑体" w:eastAsia="楷体_GB2312"/>
          <w:color w:val="auto"/>
          <w:sz w:val="30"/>
          <w:szCs w:val="30"/>
        </w:rPr>
        <w:t>（二）改进情况</w:t>
      </w:r>
    </w:p>
    <w:p w14:paraId="456B8D7D">
      <w:pPr>
        <w:spacing w:line="560" w:lineRule="exact"/>
        <w:ind w:firstLine="600" w:firstLineChars="200"/>
        <w:rPr>
          <w:rFonts w:hint="eastAsia" w:ascii="仿宋_GB2312" w:hAnsi="黑体" w:eastAsia="仿宋_GB2312"/>
          <w:color w:val="auto"/>
          <w:sz w:val="30"/>
          <w:szCs w:val="30"/>
          <w:lang w:val="en-US" w:eastAsia="zh-CN"/>
        </w:rPr>
      </w:pPr>
      <w:r>
        <w:rPr>
          <w:rFonts w:hint="eastAsia" w:ascii="仿宋_GB2312" w:hAnsi="黑体" w:eastAsia="仿宋_GB2312"/>
          <w:color w:val="auto"/>
          <w:sz w:val="30"/>
          <w:szCs w:val="30"/>
          <w:lang w:val="en-US" w:eastAsia="zh-CN"/>
        </w:rPr>
        <w:t>一是完善信息发布审核流程，明确</w:t>
      </w:r>
      <w:r>
        <w:rPr>
          <w:rFonts w:hint="default" w:ascii="Times New Roman" w:hAnsi="Times New Roman" w:eastAsia="仿宋_GB2312" w:cs="Times New Roman"/>
          <w:color w:val="auto"/>
          <w:sz w:val="30"/>
          <w:szCs w:val="30"/>
          <w:lang w:val="en-US" w:eastAsia="zh-CN"/>
        </w:rPr>
        <w:t>各类信息发布责任科室与时限要求，对事故灾害信息、预警信号等紧急类信息，实行“即发生即整理、限时审核发布”，对政策文件、规划计划等，要求文件印发后3个工作日内公开</w:t>
      </w:r>
      <w:r>
        <w:rPr>
          <w:rFonts w:hint="eastAsia" w:ascii="仿宋_GB2312" w:hAnsi="黑体" w:eastAsia="仿宋_GB2312"/>
          <w:color w:val="auto"/>
          <w:sz w:val="30"/>
          <w:szCs w:val="30"/>
          <w:lang w:val="en-US" w:eastAsia="zh-CN"/>
        </w:rPr>
        <w:t>；对行政执法、检查通报等日常监管信息，明确按月或按季度定期更新的刚性要求。同时，由局办公室牵头督办，对各科室信息更新情况实行周提醒、月通知，并将信息公开时效纳入年度绩效考核范围。</w:t>
      </w:r>
    </w:p>
    <w:p w14:paraId="31CA0851">
      <w:pPr>
        <w:spacing w:line="560" w:lineRule="exact"/>
        <w:ind w:firstLine="600" w:firstLineChars="200"/>
        <w:rPr>
          <w:rFonts w:hint="default" w:ascii="仿宋_GB2312" w:hAnsi="黑体" w:eastAsia="仿宋_GB2312"/>
          <w:color w:val="auto"/>
          <w:sz w:val="30"/>
          <w:szCs w:val="30"/>
          <w:lang w:val="en-US" w:eastAsia="zh-CN"/>
        </w:rPr>
      </w:pPr>
      <w:r>
        <w:rPr>
          <w:rFonts w:hint="eastAsia" w:ascii="仿宋_GB2312" w:hAnsi="黑体" w:eastAsia="仿宋_GB2312"/>
          <w:color w:val="auto"/>
          <w:sz w:val="30"/>
          <w:szCs w:val="30"/>
          <w:lang w:val="en-US" w:eastAsia="zh-CN"/>
        </w:rPr>
        <w:t>二是制定并实施重点领域信息公开标准规范，要求各科室在发布信息时，必须使用相应模板，确保关键信息要素齐全、格式规范、表述严谨；在信息发布审核环节，增设“规范性审查”节点，由局办公室或指定专人对照标准进行复核，对不符合标准的信息退回修改，确保标准规范落到实处。</w:t>
      </w:r>
    </w:p>
    <w:p w14:paraId="62E6E487">
      <w:pPr>
        <w:spacing w:line="560" w:lineRule="exact"/>
        <w:ind w:firstLine="640" w:firstLineChars="200"/>
        <w:rPr>
          <w:rFonts w:ascii="黑体" w:hAnsi="黑体" w:eastAsia="黑体"/>
          <w:color w:val="auto"/>
          <w:szCs w:val="32"/>
        </w:rPr>
      </w:pPr>
      <w:r>
        <w:rPr>
          <w:rFonts w:hint="eastAsia" w:ascii="黑体" w:hAnsi="黑体" w:eastAsia="黑体"/>
          <w:color w:val="auto"/>
          <w:szCs w:val="32"/>
        </w:rPr>
        <w:t>六、其他需要报告的事项</w:t>
      </w:r>
    </w:p>
    <w:p w14:paraId="00CB7931">
      <w:pPr>
        <w:ind w:firstLine="600" w:firstLineChars="200"/>
        <w:jc w:val="left"/>
        <w:rPr>
          <w:rFonts w:ascii="楷体_GB2312" w:hAnsi="黑体" w:eastAsia="楷体_GB2312"/>
          <w:color w:val="auto"/>
          <w:sz w:val="30"/>
          <w:szCs w:val="30"/>
        </w:rPr>
      </w:pPr>
      <w:r>
        <w:rPr>
          <w:rFonts w:hint="eastAsia" w:ascii="楷体_GB2312" w:hAnsi="黑体" w:eastAsia="楷体_GB2312"/>
          <w:color w:val="auto"/>
          <w:sz w:val="30"/>
          <w:szCs w:val="30"/>
        </w:rPr>
        <w:t>（一）政府信息公开信息处理费收取情况</w:t>
      </w:r>
    </w:p>
    <w:p w14:paraId="7B773A09">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年本机关依申请公开政府信息未收取任何费用。</w:t>
      </w:r>
    </w:p>
    <w:p w14:paraId="3C0DA597">
      <w:pPr>
        <w:ind w:firstLine="600" w:firstLineChars="200"/>
        <w:jc w:val="left"/>
        <w:rPr>
          <w:rFonts w:ascii="楷体_GB2312" w:hAnsi="黑体" w:eastAsia="楷体_GB2312"/>
          <w:color w:val="auto"/>
          <w:sz w:val="30"/>
          <w:szCs w:val="30"/>
        </w:rPr>
      </w:pPr>
      <w:r>
        <w:rPr>
          <w:rFonts w:hint="eastAsia" w:ascii="楷体_GB2312" w:hAnsi="黑体" w:eastAsia="楷体_GB2312"/>
          <w:color w:val="auto"/>
          <w:sz w:val="30"/>
          <w:szCs w:val="30"/>
        </w:rPr>
        <w:t>（二）落实上级年度政务公开工作要点情况</w:t>
      </w:r>
    </w:p>
    <w:p w14:paraId="5FF9B3E1">
      <w:pPr>
        <w:spacing w:line="560" w:lineRule="exact"/>
        <w:ind w:firstLine="640" w:firstLineChars="200"/>
        <w:rPr>
          <w:rFonts w:hint="eastAsia" w:ascii="仿宋_GB2312" w:hAnsi="黑体" w:eastAsia="仿宋_GB2312"/>
          <w:color w:val="auto"/>
          <w:sz w:val="32"/>
          <w:szCs w:val="32"/>
          <w:lang w:val="en-US" w:eastAsia="zh-CN"/>
        </w:rPr>
      </w:pPr>
      <w:r>
        <w:rPr>
          <w:rFonts w:hint="default" w:ascii="Times New Roman" w:hAnsi="Times New Roman" w:eastAsia="仿宋_GB2312" w:cs="Times New Roman"/>
          <w:color w:val="auto"/>
          <w:sz w:val="32"/>
          <w:szCs w:val="32"/>
        </w:rPr>
        <w:t>严格落实国家和省市县政务公开工作要点，并根据《高青县人民政府办公室关于印发202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年高青县政务公开工作方案的通知》要求，制定了《高青县</w:t>
      </w:r>
      <w:r>
        <w:rPr>
          <w:rFonts w:hint="default" w:ascii="Times New Roman" w:hAnsi="Times New Roman" w:eastAsia="仿宋_GB2312" w:cs="Times New Roman"/>
          <w:color w:val="auto"/>
          <w:sz w:val="32"/>
          <w:szCs w:val="32"/>
          <w:lang w:val="en-US" w:eastAsia="zh-CN"/>
        </w:rPr>
        <w:t>应急管理</w:t>
      </w:r>
      <w:r>
        <w:rPr>
          <w:rFonts w:hint="default" w:ascii="Times New Roman" w:hAnsi="Times New Roman" w:eastAsia="仿宋_GB2312" w:cs="Times New Roman"/>
          <w:color w:val="auto"/>
          <w:sz w:val="32"/>
          <w:szCs w:val="32"/>
        </w:rPr>
        <w:t>局政务公开工作方案》，</w:t>
      </w:r>
      <w:r>
        <w:rPr>
          <w:rFonts w:hint="eastAsia" w:ascii="仿宋_GB2312" w:eastAsia="仿宋_GB2312"/>
          <w:color w:val="auto"/>
          <w:sz w:val="32"/>
          <w:szCs w:val="32"/>
        </w:rPr>
        <w:t>明确了重点任务、工作标准和完成时限。</w:t>
      </w:r>
      <w:r>
        <w:rPr>
          <w:rFonts w:hint="eastAsia" w:ascii="仿宋_GB2312" w:eastAsia="仿宋_GB2312"/>
          <w:color w:val="auto"/>
          <w:sz w:val="32"/>
          <w:szCs w:val="32"/>
          <w:lang w:val="en-US" w:eastAsia="zh-CN"/>
        </w:rPr>
        <w:t>一是不断完善应急救援体系建设信息公开，公开全县应急救援队伍建设情况、应急预案体系（总体预案、专项预案）目录及核心内容；适时公布年度开展的应急演练计划及组织开展情况（涉密除外）。二是精准聚焦防灾减灾救灾信息公布，及时发布全县自然灾害风险形势分析、预警预报信息；公开救灾物资储备、管理、调拨使用情况；规范公布自然灾害救助政策、标准、申请程序等情况；宣传普及防灾减灾知识和应急避险技能</w:t>
      </w:r>
      <w:r>
        <w:rPr>
          <w:rFonts w:hint="default" w:ascii="Times New Roman" w:hAnsi="Times New Roman" w:eastAsia="仿宋_GB2312" w:cs="Times New Roman"/>
          <w:color w:val="auto"/>
          <w:sz w:val="32"/>
          <w:szCs w:val="32"/>
          <w:lang w:val="en-US" w:eastAsia="zh-CN"/>
        </w:rPr>
        <w:t>，覆盖全县20余万人次，坚</w:t>
      </w:r>
      <w:r>
        <w:rPr>
          <w:rFonts w:hint="eastAsia" w:ascii="仿宋_GB2312" w:eastAsia="仿宋_GB2312"/>
          <w:color w:val="auto"/>
          <w:sz w:val="32"/>
          <w:szCs w:val="32"/>
          <w:lang w:val="en-US" w:eastAsia="zh-CN"/>
        </w:rPr>
        <w:t>持共建共治共享，构建防灾减灾救灾人民防线。三是持续推进安全生产监督常态化信息公开，定期发布安全生产监督检查计划及阶段性重点安排，严格执行行政执法公示制度，全面落实事前公开（包括执法主体、依据、程序、事项等）与事后公开（包括执法结果、决定等）全流程透明；依托“双随机、一公开”监管工作机制，强化动态更新与及时发布，确保每月定期更新执法检查情况、违法行为查处结果、行政处罚决定及其他关键监管信息，切实保障公众知情权，提升监管公信力与执法透明度。</w:t>
      </w:r>
    </w:p>
    <w:p w14:paraId="26A6BBA5">
      <w:pPr>
        <w:ind w:firstLine="600" w:firstLineChars="200"/>
        <w:jc w:val="left"/>
        <w:rPr>
          <w:rFonts w:ascii="楷体_GB2312" w:hAnsi="黑体" w:eastAsia="楷体_GB2312"/>
          <w:color w:val="auto"/>
          <w:sz w:val="30"/>
          <w:szCs w:val="30"/>
        </w:rPr>
      </w:pPr>
      <w:r>
        <w:rPr>
          <w:rFonts w:hint="eastAsia" w:ascii="楷体_GB2312" w:hAnsi="黑体" w:eastAsia="楷体_GB2312"/>
          <w:color w:val="auto"/>
          <w:sz w:val="30"/>
          <w:szCs w:val="30"/>
        </w:rPr>
        <w:t>（三）人大代表建议和政协委员提案办理结果公开情况</w:t>
      </w:r>
    </w:p>
    <w:p w14:paraId="065AFA8C">
      <w:pPr>
        <w:spacing w:line="560" w:lineRule="exact"/>
        <w:ind w:firstLine="640" w:firstLineChars="200"/>
        <w:rPr>
          <w:rFonts w:hint="default" w:ascii="Times New Roman" w:hAnsi="Times New Roman" w:eastAsia="楷体_GB2312" w:cs="Times New Roman"/>
          <w:color w:val="auto"/>
          <w:sz w:val="30"/>
          <w:szCs w:val="30"/>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年未承办县十八届人大</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次会议建议、县政协十五届</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次会议提案。</w:t>
      </w:r>
    </w:p>
    <w:p w14:paraId="07C055B0">
      <w:pPr>
        <w:ind w:firstLine="600" w:firstLineChars="200"/>
        <w:jc w:val="left"/>
        <w:rPr>
          <w:rFonts w:ascii="楷体_GB2312" w:hAnsi="黑体" w:eastAsia="楷体_GB2312"/>
          <w:color w:val="auto"/>
          <w:sz w:val="30"/>
          <w:szCs w:val="30"/>
        </w:rPr>
      </w:pPr>
      <w:r>
        <w:rPr>
          <w:rFonts w:hint="eastAsia" w:ascii="楷体_GB2312" w:hAnsi="黑体" w:eastAsia="楷体_GB2312"/>
          <w:color w:val="auto"/>
          <w:sz w:val="30"/>
          <w:szCs w:val="30"/>
        </w:rPr>
        <w:t>（四）政务公开工作创新情况</w:t>
      </w:r>
    </w:p>
    <w:p w14:paraId="3CE60E5F">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在政务公开标准化规范化方面，着力细化操作指南，依据上级标准，结合本县实际情况，明确了本局各业务条线（如执法结果公示、行政许可办理）信息公开的“基本清单”，明确应该公开什么、在哪里公开、多久公开一次，努力让标准化的要求变得更具体、好操作。同时，在公众参与方面，拓展更便利的互动渠道，结合“安全生产月”、“防灾减灾日”等活动，在社区街道现场设置交流台桌，面对面解答公众疑问、收集社情民意，增强政务公开工作的互动性。</w:t>
      </w:r>
      <w:bookmarkStart w:id="0" w:name="_GoBack"/>
      <w:bookmarkEnd w:id="0"/>
    </w:p>
    <w:p w14:paraId="623202DD">
      <w:pPr>
        <w:ind w:firstLine="600" w:firstLineChars="200"/>
        <w:jc w:val="left"/>
        <w:rPr>
          <w:rFonts w:ascii="楷体_GB2312" w:hAnsi="黑体" w:eastAsia="楷体_GB2312"/>
          <w:color w:val="auto"/>
          <w:sz w:val="30"/>
          <w:szCs w:val="30"/>
        </w:rPr>
      </w:pPr>
      <w:r>
        <w:rPr>
          <w:rFonts w:hint="eastAsia" w:ascii="楷体_GB2312" w:hAnsi="黑体" w:eastAsia="楷体_GB2312"/>
          <w:color w:val="auto"/>
          <w:sz w:val="30"/>
          <w:szCs w:val="30"/>
        </w:rPr>
        <w:t>（五）有关数据统计说明</w:t>
      </w:r>
    </w:p>
    <w:p w14:paraId="4BA0C42C">
      <w:pPr>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1.报告中所列数据可能因四舍五入原因与数据直接相加之和存在尾数差异。</w:t>
      </w:r>
    </w:p>
    <w:p w14:paraId="0CDA3A75">
      <w:pPr>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2.行政许可数量、行政处罚和行政强制数量，包括已公开和依法未公开的全部处理决定。</w:t>
      </w:r>
    </w:p>
    <w:p w14:paraId="23815AF0">
      <w:pPr>
        <w:spacing w:line="56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3.行政复议机关作为共同被告的行政诉讼案件，只计算原行为主体的案件数量，不计算行政复议机关的案件数量。</w:t>
      </w:r>
    </w:p>
    <w:p w14:paraId="17BE37F5">
      <w:pPr>
        <w:spacing w:line="560" w:lineRule="exact"/>
        <w:ind w:firstLine="640" w:firstLineChars="200"/>
        <w:rPr>
          <w:rFonts w:hint="eastAsia" w:eastAsia="仿宋_GB2312"/>
          <w:color w:val="auto"/>
          <w:szCs w:val="32"/>
          <w:lang w:val="en-US" w:eastAsia="zh-CN"/>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6794E"/>
    <w:rsid w:val="004C1750"/>
    <w:rsid w:val="004D241E"/>
    <w:rsid w:val="00515DB1"/>
    <w:rsid w:val="00523855"/>
    <w:rsid w:val="005422B3"/>
    <w:rsid w:val="005626E3"/>
    <w:rsid w:val="00591E5D"/>
    <w:rsid w:val="005C0F41"/>
    <w:rsid w:val="0065765D"/>
    <w:rsid w:val="00673AC7"/>
    <w:rsid w:val="006947A5"/>
    <w:rsid w:val="00704FCD"/>
    <w:rsid w:val="008C4ED2"/>
    <w:rsid w:val="00915D0B"/>
    <w:rsid w:val="009B028C"/>
    <w:rsid w:val="009F4747"/>
    <w:rsid w:val="00C542CC"/>
    <w:rsid w:val="00C67940"/>
    <w:rsid w:val="00C73BD0"/>
    <w:rsid w:val="00CC2BE7"/>
    <w:rsid w:val="00CC521B"/>
    <w:rsid w:val="00CD1D00"/>
    <w:rsid w:val="00E60B5D"/>
    <w:rsid w:val="00EA0721"/>
    <w:rsid w:val="00EF5607"/>
    <w:rsid w:val="00FA216A"/>
    <w:rsid w:val="00FD5381"/>
    <w:rsid w:val="011408A0"/>
    <w:rsid w:val="022E26FA"/>
    <w:rsid w:val="04467A65"/>
    <w:rsid w:val="05646F50"/>
    <w:rsid w:val="09864BCA"/>
    <w:rsid w:val="09F74B65"/>
    <w:rsid w:val="0A0A0275"/>
    <w:rsid w:val="0B9C2E79"/>
    <w:rsid w:val="0DC44E14"/>
    <w:rsid w:val="10665141"/>
    <w:rsid w:val="14674084"/>
    <w:rsid w:val="16C863C0"/>
    <w:rsid w:val="1C171C38"/>
    <w:rsid w:val="1C7A6676"/>
    <w:rsid w:val="1E05445E"/>
    <w:rsid w:val="1FAE1372"/>
    <w:rsid w:val="207B1EB4"/>
    <w:rsid w:val="20C4714F"/>
    <w:rsid w:val="212504BC"/>
    <w:rsid w:val="22161381"/>
    <w:rsid w:val="239C1F69"/>
    <w:rsid w:val="23D9206E"/>
    <w:rsid w:val="27234BB8"/>
    <w:rsid w:val="283331A8"/>
    <w:rsid w:val="284D7194"/>
    <w:rsid w:val="29F61489"/>
    <w:rsid w:val="2C1A3224"/>
    <w:rsid w:val="2CD10712"/>
    <w:rsid w:val="2DD930A3"/>
    <w:rsid w:val="2F386B53"/>
    <w:rsid w:val="30A92041"/>
    <w:rsid w:val="32605ED8"/>
    <w:rsid w:val="32A55175"/>
    <w:rsid w:val="33521F74"/>
    <w:rsid w:val="34DE2D08"/>
    <w:rsid w:val="364D52AD"/>
    <w:rsid w:val="36A500A6"/>
    <w:rsid w:val="37A81FD1"/>
    <w:rsid w:val="38471845"/>
    <w:rsid w:val="3AB21184"/>
    <w:rsid w:val="3AF630AE"/>
    <w:rsid w:val="3C771752"/>
    <w:rsid w:val="3C8A1D00"/>
    <w:rsid w:val="3EB70DA6"/>
    <w:rsid w:val="3EEDBBCA"/>
    <w:rsid w:val="3FB6105E"/>
    <w:rsid w:val="41052780"/>
    <w:rsid w:val="44444E8A"/>
    <w:rsid w:val="450B2EEB"/>
    <w:rsid w:val="47634A79"/>
    <w:rsid w:val="48435459"/>
    <w:rsid w:val="49AD34D2"/>
    <w:rsid w:val="4ACB3EBE"/>
    <w:rsid w:val="4B5EF807"/>
    <w:rsid w:val="4E6E5C30"/>
    <w:rsid w:val="4F041DE6"/>
    <w:rsid w:val="4F2E4FFF"/>
    <w:rsid w:val="501656A9"/>
    <w:rsid w:val="501A63B7"/>
    <w:rsid w:val="506D5769"/>
    <w:rsid w:val="5120323D"/>
    <w:rsid w:val="51BD6E8D"/>
    <w:rsid w:val="523D6198"/>
    <w:rsid w:val="52BA5B8A"/>
    <w:rsid w:val="52E837CD"/>
    <w:rsid w:val="5344250C"/>
    <w:rsid w:val="53B73033"/>
    <w:rsid w:val="53BE4875"/>
    <w:rsid w:val="548D0188"/>
    <w:rsid w:val="55574CCF"/>
    <w:rsid w:val="558E065B"/>
    <w:rsid w:val="55B41744"/>
    <w:rsid w:val="57393429"/>
    <w:rsid w:val="5A513A05"/>
    <w:rsid w:val="5C807F4E"/>
    <w:rsid w:val="5C9B540C"/>
    <w:rsid w:val="5CB00EB7"/>
    <w:rsid w:val="5CB03860"/>
    <w:rsid w:val="5D78325A"/>
    <w:rsid w:val="5F6706E3"/>
    <w:rsid w:val="5FC45415"/>
    <w:rsid w:val="5FDAFBE5"/>
    <w:rsid w:val="637569B7"/>
    <w:rsid w:val="652A3F11"/>
    <w:rsid w:val="686A5F1F"/>
    <w:rsid w:val="68795C73"/>
    <w:rsid w:val="6CAE6A95"/>
    <w:rsid w:val="6DD61075"/>
    <w:rsid w:val="711D243B"/>
    <w:rsid w:val="715863BC"/>
    <w:rsid w:val="71F94C57"/>
    <w:rsid w:val="73691968"/>
    <w:rsid w:val="73AD3A29"/>
    <w:rsid w:val="73D1431B"/>
    <w:rsid w:val="77CD11BF"/>
    <w:rsid w:val="7BAB3A6D"/>
    <w:rsid w:val="7BFC2A96"/>
    <w:rsid w:val="7D39310B"/>
    <w:rsid w:val="7E3AC9EB"/>
    <w:rsid w:val="7E7044F2"/>
    <w:rsid w:val="97FA415A"/>
    <w:rsid w:val="F2D92C82"/>
    <w:rsid w:val="FDD7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AppData\Local\Temp\wps.ZBLLGd\Chart2%20in%20Wp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altLang="en-US"/>
              <a:t>年度累计公开信息</a:t>
            </a:r>
            <a:r>
              <a:t>数</a:t>
            </a:r>
          </a:p>
        </c:rich>
      </c:tx>
      <c:layout/>
      <c:overlay val="0"/>
      <c:spPr>
        <a:noFill/>
        <a:ln>
          <a:noFill/>
        </a:ln>
        <a:effectLst/>
      </c:spPr>
    </c:title>
    <c:autoTitleDeleted val="0"/>
    <c:plotArea>
      <c:layout/>
      <c:barChart>
        <c:barDir val="col"/>
        <c:grouping val="clustered"/>
        <c:varyColors val="0"/>
        <c:ser>
          <c:idx val="2"/>
          <c:order val="0"/>
          <c:tx>
            <c:strRef>
              <c:f>"政府网站公开信息数量"</c:f>
              <c:strCache>
                <c:ptCount val="1"/>
                <c:pt idx="0">
                  <c:v>政府网站公开信息数量</c:v>
                </c:pt>
              </c:strCache>
            </c:strRef>
          </c:tx>
          <c:spPr>
            <a:solidFill>
              <a:schemeClr val="accent5"/>
            </a:solidFill>
            <a:ln>
              <a:noFill/>
            </a:ln>
            <a:effectLst/>
          </c:spPr>
          <c:invertIfNegative val="0"/>
          <c:dLbls>
            <c:delete val="1"/>
          </c:dLbls>
          <c:cat>
            <c:numRef>
              <c:f>'[Chart2 in Wps.xlsx]Sheet1'!$A$2:$A$5</c:f>
              <c:numCache>
                <c:formatCode>General</c:formatCode>
                <c:ptCount val="4"/>
                <c:pt idx="0">
                  <c:v>2022</c:v>
                </c:pt>
                <c:pt idx="1">
                  <c:v>2023</c:v>
                </c:pt>
                <c:pt idx="2">
                  <c:v>2024</c:v>
                </c:pt>
                <c:pt idx="3">
                  <c:v>2025</c:v>
                </c:pt>
              </c:numCache>
            </c:numRef>
          </c:cat>
          <c:val>
            <c:numRef>
              <c:f>'[Chart2 in Wps.xlsx]Sheet1'!$B$2:$B$5</c:f>
              <c:numCache>
                <c:formatCode>General</c:formatCode>
                <c:ptCount val="4"/>
                <c:pt idx="0">
                  <c:v>120</c:v>
                </c:pt>
                <c:pt idx="1">
                  <c:v>165</c:v>
                </c:pt>
                <c:pt idx="2">
                  <c:v>140</c:v>
                </c:pt>
                <c:pt idx="3">
                  <c:v>156</c:v>
                </c:pt>
              </c:numCache>
            </c:numRef>
          </c:val>
        </c:ser>
        <c:dLbls>
          <c:showLegendKey val="0"/>
          <c:showVal val="0"/>
          <c:showCatName val="0"/>
          <c:showSerName val="0"/>
          <c:showPercent val="0"/>
          <c:showBubbleSize val="0"/>
        </c:dLbls>
        <c:gapWidth val="246"/>
        <c:overlap val="-28"/>
        <c:axId val="943553245"/>
        <c:axId val="857617497"/>
      </c:barChart>
      <c:catAx>
        <c:axId val="9435532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617497"/>
        <c:crosses val="autoZero"/>
        <c:auto val="1"/>
        <c:lblAlgn val="ctr"/>
        <c:lblOffset val="100"/>
        <c:noMultiLvlLbl val="0"/>
      </c:catAx>
      <c:valAx>
        <c:axId val="85761749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35532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e115049-6080-4e65-8407-ef4414d48bd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2025</a:t>
            </a:r>
            <a:r>
              <a:rPr lang="zh-CN" altLang="en-US"/>
              <a:t>年政府信息公开数据</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dPt>
          <c:dPt>
            <c:idx val="1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Sheet1!$A$2:$A$19</c:f>
              <c:strCache>
                <c:ptCount val="18"/>
                <c:pt idx="0">
                  <c:v>政府信息公开指南</c:v>
                </c:pt>
                <c:pt idx="1">
                  <c:v>机构职能</c:v>
                </c:pt>
                <c:pt idx="2">
                  <c:v>政策文件</c:v>
                </c:pt>
                <c:pt idx="3">
                  <c:v>重要部署执行</c:v>
                </c:pt>
                <c:pt idx="4">
                  <c:v>建议提案办理</c:v>
                </c:pt>
                <c:pt idx="5">
                  <c:v>财政信息</c:v>
                </c:pt>
                <c:pt idx="6">
                  <c:v>社会信用体系</c:v>
                </c:pt>
                <c:pt idx="7">
                  <c:v>行政执法公示</c:v>
                </c:pt>
                <c:pt idx="8">
                  <c:v>双随机一公开</c:v>
                </c:pt>
                <c:pt idx="9">
                  <c:v>灾害事故救援</c:v>
                </c:pt>
                <c:pt idx="10">
                  <c:v>应急管理</c:v>
                </c:pt>
                <c:pt idx="11">
                  <c:v>安全生产</c:v>
                </c:pt>
                <c:pt idx="12">
                  <c:v>主动公开基本目录</c:v>
                </c:pt>
                <c:pt idx="13">
                  <c:v>法治政府建设</c:v>
                </c:pt>
                <c:pt idx="14">
                  <c:v>组织领导</c:v>
                </c:pt>
                <c:pt idx="15">
                  <c:v>政务公开组织管理</c:v>
                </c:pt>
                <c:pt idx="16">
                  <c:v>职能配置</c:v>
                </c:pt>
                <c:pt idx="17">
                  <c:v>政府信息公开年度报告</c:v>
                </c:pt>
              </c:strCache>
            </c:strRef>
          </c:cat>
          <c:val>
            <c:numRef>
              <c:f>Sheet1!$B$2:$B$19</c:f>
              <c:numCache>
                <c:formatCode>General</c:formatCode>
                <c:ptCount val="18"/>
                <c:pt idx="0">
                  <c:v>1</c:v>
                </c:pt>
                <c:pt idx="1">
                  <c:v>1</c:v>
                </c:pt>
                <c:pt idx="2">
                  <c:v>1</c:v>
                </c:pt>
                <c:pt idx="3">
                  <c:v>12</c:v>
                </c:pt>
                <c:pt idx="4">
                  <c:v>1</c:v>
                </c:pt>
                <c:pt idx="5">
                  <c:v>4</c:v>
                </c:pt>
                <c:pt idx="6">
                  <c:v>29</c:v>
                </c:pt>
                <c:pt idx="7">
                  <c:v>26</c:v>
                </c:pt>
                <c:pt idx="8">
                  <c:v>12</c:v>
                </c:pt>
                <c:pt idx="9">
                  <c:v>19</c:v>
                </c:pt>
                <c:pt idx="10">
                  <c:v>0</c:v>
                </c:pt>
                <c:pt idx="11">
                  <c:v>12</c:v>
                </c:pt>
                <c:pt idx="12">
                  <c:v>1</c:v>
                </c:pt>
                <c:pt idx="13">
                  <c:v>0</c:v>
                </c:pt>
                <c:pt idx="14">
                  <c:v>0</c:v>
                </c:pt>
                <c:pt idx="15">
                  <c:v>5</c:v>
                </c:pt>
                <c:pt idx="16">
                  <c:v>0</c:v>
                </c:pt>
                <c:pt idx="17">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09166f8-85aa-42ec-b73e-dba76723046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10</Pages>
  <Words>3803</Words>
  <Characters>3956</Characters>
  <Lines>15</Lines>
  <Paragraphs>4</Paragraphs>
  <TotalTime>6</TotalTime>
  <ScaleCrop>false</ScaleCrop>
  <LinksUpToDate>false</LinksUpToDate>
  <CharactersWithSpaces>3965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2022-01-02T17:04:00Z</dcterms:created>
  <dc:creator>lb</dc:creator>
  <cp:lastModifiedBy>。</cp:lastModifiedBy>
  <dcterms:modified xsi:type="dcterms:W3CDTF">2026-01-28T01:10:41Z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2052-12.1.0.24657</vt:lpwstr>
  </property>
  <property fmtid="{D5CDD505-2E9C-101B-9397-08002B2CF9AE}" pid="4" name="ICV">
    <vt:lpwstr>B1FDB714B3A74D5DB947A7A33CC354CB_12</vt:lpwstr>
  </property>
</Properties>
</file>