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19877">
      <w:pPr>
        <w:jc w:val="left"/>
        <w:rPr>
          <w:rFonts w:ascii="黑体" w:hAnsi="黑体" w:eastAsia="黑体"/>
          <w:sz w:val="32"/>
          <w:szCs w:val="32"/>
        </w:rPr>
      </w:pPr>
      <w:r>
        <w:rPr>
          <w:rFonts w:hint="eastAsia" w:ascii="黑体" w:hAnsi="黑体" w:eastAsia="黑体"/>
          <w:sz w:val="32"/>
          <w:szCs w:val="32"/>
        </w:rPr>
        <w:t>附件1：</w:t>
      </w:r>
      <w:bookmarkStart w:id="0" w:name="_GoBack"/>
      <w:bookmarkEnd w:id="0"/>
    </w:p>
    <w:p w14:paraId="0FCC4546">
      <w:pPr>
        <w:jc w:val="center"/>
        <w:rPr>
          <w:rFonts w:ascii="方正小标宋简体" w:eastAsia="方正小标宋简体"/>
          <w:sz w:val="36"/>
          <w:szCs w:val="36"/>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局2025年《政府工作报告》重点任务第</w:t>
      </w:r>
      <w:r>
        <w:rPr>
          <w:rFonts w:hint="eastAsia" w:ascii="方正小标宋简体" w:eastAsia="方正小标宋简体"/>
          <w:sz w:val="36"/>
          <w:szCs w:val="36"/>
          <w:u w:val="single"/>
          <w:lang w:val="en-US" w:eastAsia="zh-CN"/>
        </w:rPr>
        <w:t>二</w:t>
      </w:r>
      <w:r>
        <w:rPr>
          <w:rFonts w:hint="eastAsia" w:ascii="方正小标宋简体" w:eastAsia="方正小标宋简体"/>
          <w:sz w:val="36"/>
          <w:szCs w:val="36"/>
        </w:rPr>
        <w:t>季度进展情况</w:t>
      </w:r>
    </w:p>
    <w:tbl>
      <w:tblPr>
        <w:tblStyle w:val="9"/>
        <w:tblW w:w="15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6"/>
        <w:gridCol w:w="2962"/>
        <w:gridCol w:w="3027"/>
        <w:gridCol w:w="2398"/>
        <w:gridCol w:w="1812"/>
        <w:gridCol w:w="1671"/>
      </w:tblGrid>
      <w:tr w14:paraId="457E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336" w:type="dxa"/>
            <w:vAlign w:val="center"/>
          </w:tcPr>
          <w:p w14:paraId="538650E8">
            <w:pPr>
              <w:jc w:val="center"/>
              <w:rPr>
                <w:rFonts w:ascii="黑体" w:hAnsi="黑体" w:eastAsia="黑体"/>
                <w:sz w:val="32"/>
                <w:szCs w:val="32"/>
              </w:rPr>
            </w:pPr>
            <w:r>
              <w:rPr>
                <w:rFonts w:hint="eastAsia" w:ascii="黑体" w:hAnsi="黑体" w:eastAsia="黑体"/>
                <w:sz w:val="32"/>
                <w:szCs w:val="32"/>
              </w:rPr>
              <w:t>目标任务</w:t>
            </w:r>
          </w:p>
        </w:tc>
        <w:tc>
          <w:tcPr>
            <w:tcW w:w="2962" w:type="dxa"/>
            <w:vAlign w:val="center"/>
          </w:tcPr>
          <w:p w14:paraId="226818DA">
            <w:pPr>
              <w:spacing w:line="500" w:lineRule="exact"/>
              <w:jc w:val="center"/>
              <w:rPr>
                <w:rFonts w:ascii="黑体" w:hAnsi="黑体" w:eastAsia="黑体"/>
                <w:sz w:val="32"/>
                <w:szCs w:val="32"/>
              </w:rPr>
            </w:pPr>
            <w:r>
              <w:rPr>
                <w:rFonts w:hint="eastAsia" w:ascii="黑体" w:hAnsi="黑体" w:eastAsia="黑体"/>
                <w:sz w:val="32"/>
                <w:szCs w:val="32"/>
              </w:rPr>
              <w:t>执行措施、实施步骤</w:t>
            </w:r>
          </w:p>
        </w:tc>
        <w:tc>
          <w:tcPr>
            <w:tcW w:w="3027" w:type="dxa"/>
            <w:vAlign w:val="center"/>
          </w:tcPr>
          <w:p w14:paraId="49F48E1F">
            <w:pPr>
              <w:spacing w:line="500" w:lineRule="exact"/>
              <w:jc w:val="center"/>
              <w:rPr>
                <w:rFonts w:ascii="黑体" w:hAnsi="黑体" w:eastAsia="黑体"/>
                <w:sz w:val="32"/>
                <w:szCs w:val="32"/>
              </w:rPr>
            </w:pPr>
            <w:r>
              <w:rPr>
                <w:rFonts w:hint="eastAsia" w:ascii="黑体" w:hAnsi="黑体" w:eastAsia="黑体"/>
                <w:sz w:val="32"/>
                <w:szCs w:val="32"/>
              </w:rPr>
              <w:t>工作进展、取得成效</w:t>
            </w:r>
          </w:p>
        </w:tc>
        <w:tc>
          <w:tcPr>
            <w:tcW w:w="2398" w:type="dxa"/>
            <w:vAlign w:val="center"/>
          </w:tcPr>
          <w:p w14:paraId="2219EF8D">
            <w:pPr>
              <w:spacing w:line="500" w:lineRule="exact"/>
              <w:jc w:val="center"/>
              <w:rPr>
                <w:rFonts w:ascii="黑体" w:hAnsi="黑体" w:eastAsia="黑体"/>
                <w:sz w:val="32"/>
                <w:szCs w:val="32"/>
              </w:rPr>
            </w:pPr>
            <w:r>
              <w:rPr>
                <w:rFonts w:hint="eastAsia" w:ascii="黑体" w:hAnsi="黑体" w:eastAsia="黑体"/>
                <w:sz w:val="32"/>
                <w:szCs w:val="32"/>
              </w:rPr>
              <w:t>后续举措</w:t>
            </w:r>
          </w:p>
        </w:tc>
        <w:tc>
          <w:tcPr>
            <w:tcW w:w="1812" w:type="dxa"/>
            <w:vAlign w:val="center"/>
          </w:tcPr>
          <w:p w14:paraId="53F61E1C">
            <w:pPr>
              <w:jc w:val="center"/>
              <w:rPr>
                <w:rFonts w:ascii="黑体" w:hAnsi="黑体" w:eastAsia="黑体"/>
                <w:sz w:val="32"/>
                <w:szCs w:val="32"/>
              </w:rPr>
            </w:pPr>
            <w:r>
              <w:rPr>
                <w:rFonts w:hint="eastAsia" w:ascii="黑体" w:hAnsi="黑体" w:eastAsia="黑体"/>
                <w:sz w:val="32"/>
                <w:szCs w:val="32"/>
              </w:rPr>
              <w:t>责任分工</w:t>
            </w:r>
          </w:p>
        </w:tc>
        <w:tc>
          <w:tcPr>
            <w:tcW w:w="1671" w:type="dxa"/>
            <w:vAlign w:val="center"/>
          </w:tcPr>
          <w:p w14:paraId="3C34E93B">
            <w:pPr>
              <w:jc w:val="center"/>
              <w:rPr>
                <w:rFonts w:ascii="黑体" w:hAnsi="黑体" w:eastAsia="黑体"/>
                <w:sz w:val="32"/>
                <w:szCs w:val="32"/>
              </w:rPr>
            </w:pPr>
            <w:r>
              <w:rPr>
                <w:rFonts w:hint="eastAsia" w:ascii="黑体" w:hAnsi="黑体" w:eastAsia="黑体"/>
                <w:sz w:val="32"/>
                <w:szCs w:val="32"/>
              </w:rPr>
              <w:t>监督方式</w:t>
            </w:r>
          </w:p>
        </w:tc>
      </w:tr>
      <w:tr w14:paraId="21C7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9" w:hRule="atLeast"/>
          <w:jc w:val="center"/>
        </w:trPr>
        <w:tc>
          <w:tcPr>
            <w:tcW w:w="3336" w:type="dxa"/>
            <w:vAlign w:val="top"/>
          </w:tcPr>
          <w:p w14:paraId="70C3136D">
            <w:pPr>
              <w:jc w:val="center"/>
              <w:rPr>
                <w:rFonts w:hint="eastAsia" w:ascii="仿宋" w:hAnsi="仿宋" w:eastAsia="仿宋" w:cs="仿宋"/>
                <w:sz w:val="22"/>
                <w:szCs w:val="22"/>
              </w:rPr>
            </w:pPr>
          </w:p>
          <w:p w14:paraId="6FA0FC0D">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2962" w:type="dxa"/>
          </w:tcPr>
          <w:p w14:paraId="27AA8E9F">
            <w:pPr>
              <w:pStyle w:val="2"/>
              <w:rPr>
                <w:rFonts w:hint="eastAsia" w:ascii="仿宋" w:hAnsi="仿宋" w:eastAsia="仿宋" w:cs="仿宋"/>
                <w:sz w:val="22"/>
                <w:szCs w:val="22"/>
              </w:rPr>
            </w:pPr>
          </w:p>
          <w:p w14:paraId="72D71D7F">
            <w:pPr>
              <w:pStyle w:val="2"/>
              <w:rPr>
                <w:rFonts w:hint="eastAsia" w:ascii="仿宋" w:hAnsi="仿宋" w:eastAsia="仿宋" w:cs="仿宋"/>
                <w:sz w:val="22"/>
                <w:szCs w:val="22"/>
              </w:rPr>
            </w:pPr>
          </w:p>
          <w:p w14:paraId="2D83C92B">
            <w:pPr>
              <w:jc w:val="center"/>
              <w:rPr>
                <w:rFonts w:hint="eastAsia" w:ascii="仿宋" w:hAnsi="仿宋" w:eastAsia="仿宋" w:cs="仿宋"/>
                <w:sz w:val="22"/>
                <w:szCs w:val="22"/>
              </w:rPr>
            </w:pPr>
            <w:r>
              <w:rPr>
                <w:rFonts w:hint="eastAsia" w:ascii="仿宋" w:hAnsi="仿宋" w:eastAsia="仿宋" w:cs="仿宋"/>
                <w:sz w:val="22"/>
                <w:szCs w:val="22"/>
              </w:rPr>
              <w:t>定期检查企业“三化”改造工作进展，督促企业按照整改方案进行整改，通过现场督导和执法检查的方式，倒逼企业加快整改进度，现场指导企业改造施工，确保改造施工期间的安全。</w:t>
            </w:r>
          </w:p>
        </w:tc>
        <w:tc>
          <w:tcPr>
            <w:tcW w:w="3027" w:type="dxa"/>
          </w:tcPr>
          <w:p w14:paraId="34E6F35D">
            <w:pPr>
              <w:jc w:val="center"/>
              <w:rPr>
                <w:rFonts w:hint="eastAsia" w:ascii="仿宋" w:hAnsi="仿宋" w:eastAsia="仿宋" w:cs="仿宋"/>
                <w:b w:val="0"/>
                <w:bCs w:val="0"/>
                <w:snapToGrid/>
                <w:color w:val="auto"/>
                <w:kern w:val="2"/>
                <w:sz w:val="22"/>
                <w:szCs w:val="22"/>
              </w:rPr>
            </w:pPr>
          </w:p>
          <w:p w14:paraId="2F310A35">
            <w:pPr>
              <w:jc w:val="center"/>
              <w:rPr>
                <w:rFonts w:hint="eastAsia" w:ascii="仿宋" w:hAnsi="仿宋" w:eastAsia="仿宋" w:cs="仿宋"/>
                <w:b w:val="0"/>
                <w:bCs w:val="0"/>
                <w:snapToGrid/>
                <w:color w:val="auto"/>
                <w:kern w:val="2"/>
                <w:sz w:val="22"/>
                <w:szCs w:val="22"/>
              </w:rPr>
            </w:pPr>
          </w:p>
          <w:p w14:paraId="060FD1C6">
            <w:pPr>
              <w:jc w:val="center"/>
              <w:rPr>
                <w:rFonts w:hint="eastAsia" w:ascii="仿宋" w:hAnsi="仿宋" w:eastAsia="仿宋" w:cs="仿宋"/>
                <w:sz w:val="22"/>
                <w:szCs w:val="22"/>
              </w:rPr>
            </w:pPr>
            <w:r>
              <w:rPr>
                <w:rFonts w:hint="eastAsia" w:ascii="仿宋" w:hAnsi="仿宋" w:eastAsia="仿宋" w:cs="仿宋"/>
                <w:b w:val="0"/>
                <w:bCs w:val="0"/>
                <w:snapToGrid/>
                <w:color w:val="auto"/>
                <w:kern w:val="2"/>
                <w:sz w:val="22"/>
                <w:szCs w:val="22"/>
              </w:rPr>
              <w:t>对全县化工和危化品企业18种重点监管的危险化工工艺和22个化工过程操作单元进行</w:t>
            </w:r>
            <w:r>
              <w:rPr>
                <w:rFonts w:hint="eastAsia" w:ascii="仿宋" w:hAnsi="仿宋" w:eastAsia="仿宋" w:cs="仿宋"/>
                <w:b w:val="0"/>
                <w:bCs w:val="0"/>
                <w:snapToGrid/>
                <w:color w:val="auto"/>
                <w:kern w:val="2"/>
                <w:sz w:val="22"/>
                <w:szCs w:val="22"/>
                <w:lang w:eastAsia="zh-CN"/>
              </w:rPr>
              <w:t>全面</w:t>
            </w:r>
            <w:r>
              <w:rPr>
                <w:rFonts w:hint="eastAsia" w:ascii="仿宋" w:hAnsi="仿宋" w:eastAsia="仿宋" w:cs="仿宋"/>
                <w:b w:val="0"/>
                <w:bCs w:val="0"/>
                <w:snapToGrid/>
                <w:color w:val="auto"/>
                <w:kern w:val="2"/>
                <w:sz w:val="22"/>
                <w:szCs w:val="22"/>
              </w:rPr>
              <w:t>排查，共统计我县6家企业需进一步改造提升。督促6家企业分别制定了改造方案和工作计划，倒排工期，挂图作战。目前</w:t>
            </w:r>
            <w:r>
              <w:rPr>
                <w:rFonts w:hint="eastAsia" w:ascii="仿宋" w:hAnsi="仿宋" w:eastAsia="仿宋" w:cs="仿宋"/>
                <w:b w:val="0"/>
                <w:bCs w:val="0"/>
                <w:snapToGrid/>
                <w:color w:val="auto"/>
                <w:kern w:val="2"/>
                <w:sz w:val="22"/>
                <w:szCs w:val="22"/>
                <w:lang w:val="en-US" w:eastAsia="zh-CN"/>
              </w:rPr>
              <w:t>6家</w:t>
            </w:r>
            <w:r>
              <w:rPr>
                <w:rFonts w:hint="eastAsia" w:ascii="仿宋" w:hAnsi="仿宋" w:eastAsia="仿宋" w:cs="仿宋"/>
                <w:b w:val="0"/>
                <w:bCs w:val="0"/>
                <w:snapToGrid/>
                <w:color w:val="auto"/>
                <w:kern w:val="2"/>
                <w:sz w:val="22"/>
                <w:szCs w:val="22"/>
              </w:rPr>
              <w:t>企业</w:t>
            </w:r>
            <w:r>
              <w:rPr>
                <w:rFonts w:hint="eastAsia" w:ascii="仿宋" w:hAnsi="仿宋" w:eastAsia="仿宋" w:cs="仿宋"/>
                <w:b w:val="0"/>
                <w:bCs w:val="0"/>
                <w:snapToGrid/>
                <w:color w:val="auto"/>
                <w:kern w:val="2"/>
                <w:sz w:val="22"/>
                <w:szCs w:val="22"/>
                <w:lang w:eastAsia="zh-CN"/>
              </w:rPr>
              <w:t>已</w:t>
            </w:r>
            <w:r>
              <w:rPr>
                <w:rFonts w:hint="eastAsia" w:ascii="仿宋" w:hAnsi="仿宋" w:eastAsia="仿宋" w:cs="仿宋"/>
                <w:b w:val="0"/>
                <w:bCs w:val="0"/>
                <w:snapToGrid/>
                <w:color w:val="auto"/>
                <w:kern w:val="2"/>
                <w:sz w:val="22"/>
                <w:szCs w:val="22"/>
              </w:rPr>
              <w:t>全</w:t>
            </w:r>
            <w:r>
              <w:rPr>
                <w:rFonts w:hint="eastAsia" w:ascii="仿宋" w:hAnsi="仿宋" w:eastAsia="仿宋" w:cs="仿宋"/>
                <w:b w:val="0"/>
                <w:bCs w:val="0"/>
                <w:snapToGrid/>
                <w:color w:val="auto"/>
                <w:kern w:val="2"/>
                <w:sz w:val="22"/>
                <w:szCs w:val="22"/>
                <w:lang w:eastAsia="zh-CN"/>
              </w:rPr>
              <w:t>部</w:t>
            </w:r>
            <w:r>
              <w:rPr>
                <w:rFonts w:hint="eastAsia" w:ascii="仿宋" w:hAnsi="仿宋" w:eastAsia="仿宋" w:cs="仿宋"/>
                <w:b w:val="0"/>
                <w:bCs w:val="0"/>
                <w:snapToGrid/>
                <w:color w:val="auto"/>
                <w:kern w:val="2"/>
                <w:sz w:val="22"/>
                <w:szCs w:val="22"/>
              </w:rPr>
              <w:t>完成</w:t>
            </w:r>
            <w:r>
              <w:rPr>
                <w:rFonts w:hint="eastAsia" w:ascii="仿宋" w:hAnsi="仿宋" w:eastAsia="仿宋" w:cs="仿宋"/>
                <w:b w:val="0"/>
                <w:bCs w:val="0"/>
                <w:snapToGrid/>
                <w:color w:val="auto"/>
                <w:kern w:val="2"/>
                <w:sz w:val="22"/>
                <w:szCs w:val="22"/>
                <w:lang w:eastAsia="zh-CN"/>
              </w:rPr>
              <w:t>自动化改造。</w:t>
            </w:r>
          </w:p>
        </w:tc>
        <w:tc>
          <w:tcPr>
            <w:tcW w:w="2398" w:type="dxa"/>
          </w:tcPr>
          <w:p w14:paraId="4CE67851">
            <w:pPr>
              <w:pStyle w:val="7"/>
              <w:spacing w:after="0" w:line="300" w:lineRule="exact"/>
              <w:ind w:left="0" w:leftChars="0" w:firstLine="0" w:firstLineChars="0"/>
              <w:rPr>
                <w:rFonts w:hint="eastAsia" w:ascii="仿宋" w:hAnsi="仿宋" w:eastAsia="仿宋" w:cs="仿宋"/>
                <w:kern w:val="2"/>
                <w:sz w:val="22"/>
                <w:szCs w:val="22"/>
                <w:lang w:val="en-US" w:eastAsia="zh-CN" w:bidi="ar-SA"/>
              </w:rPr>
            </w:pPr>
          </w:p>
          <w:p w14:paraId="74A7C8BC">
            <w:pPr>
              <w:rPr>
                <w:rFonts w:hint="eastAsia" w:ascii="仿宋" w:hAnsi="仿宋" w:eastAsia="仿宋" w:cs="仿宋"/>
                <w:sz w:val="22"/>
                <w:szCs w:val="22"/>
                <w:lang w:val="en-US" w:eastAsia="zh-CN"/>
              </w:rPr>
            </w:pPr>
          </w:p>
          <w:p w14:paraId="40065206">
            <w:pPr>
              <w:pStyle w:val="7"/>
              <w:spacing w:after="0" w:line="300" w:lineRule="exact"/>
              <w:ind w:left="0" w:leftChars="0"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核查企业“三化”改造情况，通过“三化”改造，最大限度减少现场操作人员，消除人员在危险环境中暴露和人为误操作带来的安全风险，对企业“三化”改造完成后的实际运行情况组组织“回头看”，查漏补缺，提高“三化”改造工作质效。</w:t>
            </w:r>
          </w:p>
          <w:p w14:paraId="7406F176">
            <w:pPr>
              <w:jc w:val="center"/>
              <w:rPr>
                <w:rFonts w:hint="eastAsia" w:ascii="仿宋" w:hAnsi="仿宋" w:eastAsia="仿宋" w:cs="仿宋"/>
                <w:sz w:val="22"/>
                <w:szCs w:val="22"/>
              </w:rPr>
            </w:pPr>
          </w:p>
        </w:tc>
        <w:tc>
          <w:tcPr>
            <w:tcW w:w="1812" w:type="dxa"/>
            <w:vAlign w:val="top"/>
          </w:tcPr>
          <w:p w14:paraId="7674DC34">
            <w:pPr>
              <w:jc w:val="center"/>
              <w:rPr>
                <w:rFonts w:hint="eastAsia" w:ascii="仿宋" w:hAnsi="仿宋" w:eastAsia="仿宋" w:cs="仿宋"/>
                <w:sz w:val="22"/>
                <w:szCs w:val="22"/>
                <w:lang w:val="en-US" w:eastAsia="zh-CN"/>
              </w:rPr>
            </w:pPr>
          </w:p>
          <w:p w14:paraId="08BDBF63">
            <w:pPr>
              <w:jc w:val="center"/>
              <w:rPr>
                <w:rFonts w:hint="eastAsia" w:ascii="仿宋" w:hAnsi="仿宋" w:eastAsia="仿宋" w:cs="仿宋"/>
                <w:sz w:val="22"/>
                <w:szCs w:val="22"/>
                <w:lang w:val="en-US" w:eastAsia="zh-CN"/>
              </w:rPr>
            </w:pPr>
          </w:p>
          <w:p w14:paraId="7915DF1F">
            <w:pPr>
              <w:jc w:val="center"/>
              <w:rPr>
                <w:rFonts w:hint="eastAsia" w:ascii="仿宋" w:hAnsi="仿宋" w:eastAsia="仿宋" w:cs="仿宋"/>
                <w:sz w:val="22"/>
                <w:szCs w:val="22"/>
                <w:lang w:val="en-US" w:eastAsia="zh-CN"/>
              </w:rPr>
            </w:pPr>
          </w:p>
          <w:p w14:paraId="60D92EE0">
            <w:pPr>
              <w:jc w:val="center"/>
              <w:rPr>
                <w:rFonts w:hint="eastAsia" w:ascii="仿宋" w:hAnsi="仿宋" w:eastAsia="仿宋" w:cs="仿宋"/>
                <w:sz w:val="22"/>
                <w:szCs w:val="22"/>
                <w:lang w:val="en-US" w:eastAsia="zh-CN"/>
              </w:rPr>
            </w:pPr>
          </w:p>
          <w:p w14:paraId="681BAA4F">
            <w:pPr>
              <w:jc w:val="center"/>
              <w:rPr>
                <w:rFonts w:hint="eastAsia" w:ascii="仿宋" w:hAnsi="仿宋" w:eastAsia="仿宋" w:cs="仿宋"/>
                <w:sz w:val="22"/>
                <w:szCs w:val="22"/>
                <w:lang w:val="en-US" w:eastAsia="zh-CN"/>
              </w:rPr>
            </w:pPr>
          </w:p>
          <w:p w14:paraId="2997515F">
            <w:pPr>
              <w:pStyle w:val="2"/>
              <w:rPr>
                <w:rFonts w:hint="eastAsia" w:ascii="仿宋" w:hAnsi="仿宋" w:eastAsia="仿宋" w:cs="仿宋"/>
                <w:sz w:val="22"/>
                <w:szCs w:val="22"/>
                <w:lang w:val="en-US" w:eastAsia="zh-CN"/>
              </w:rPr>
            </w:pPr>
          </w:p>
          <w:p w14:paraId="490A2AD7">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县应急局危化科</w:t>
            </w:r>
          </w:p>
        </w:tc>
        <w:tc>
          <w:tcPr>
            <w:tcW w:w="1671" w:type="dxa"/>
            <w:vAlign w:val="top"/>
          </w:tcPr>
          <w:p w14:paraId="02B2839A">
            <w:pPr>
              <w:jc w:val="center"/>
              <w:rPr>
                <w:rFonts w:hint="eastAsia" w:ascii="仿宋" w:hAnsi="仿宋" w:eastAsia="仿宋" w:cs="仿宋"/>
                <w:sz w:val="22"/>
                <w:szCs w:val="22"/>
                <w:lang w:val="en-US" w:eastAsia="zh-CN"/>
              </w:rPr>
            </w:pPr>
          </w:p>
          <w:p w14:paraId="72566683">
            <w:pPr>
              <w:jc w:val="center"/>
              <w:rPr>
                <w:rFonts w:hint="eastAsia" w:ascii="仿宋" w:hAnsi="仿宋" w:eastAsia="仿宋" w:cs="仿宋"/>
                <w:sz w:val="22"/>
                <w:szCs w:val="22"/>
                <w:lang w:val="en-US" w:eastAsia="zh-CN"/>
              </w:rPr>
            </w:pPr>
          </w:p>
          <w:p w14:paraId="0291126A">
            <w:pPr>
              <w:jc w:val="center"/>
              <w:rPr>
                <w:rFonts w:hint="eastAsia" w:ascii="仿宋" w:hAnsi="仿宋" w:eastAsia="仿宋" w:cs="仿宋"/>
                <w:sz w:val="22"/>
                <w:szCs w:val="22"/>
                <w:lang w:val="en-US" w:eastAsia="zh-CN"/>
              </w:rPr>
            </w:pPr>
          </w:p>
          <w:p w14:paraId="7D905BA9">
            <w:pPr>
              <w:jc w:val="center"/>
              <w:rPr>
                <w:rFonts w:hint="eastAsia" w:ascii="仿宋" w:hAnsi="仿宋" w:eastAsia="仿宋" w:cs="仿宋"/>
                <w:sz w:val="22"/>
                <w:szCs w:val="22"/>
                <w:lang w:val="en-US" w:eastAsia="zh-CN"/>
              </w:rPr>
            </w:pPr>
          </w:p>
          <w:p w14:paraId="429067FF">
            <w:pPr>
              <w:jc w:val="center"/>
              <w:rPr>
                <w:rFonts w:hint="eastAsia" w:ascii="仿宋" w:hAnsi="仿宋" w:eastAsia="仿宋" w:cs="仿宋"/>
                <w:sz w:val="22"/>
                <w:szCs w:val="22"/>
                <w:lang w:val="en-US" w:eastAsia="zh-CN"/>
              </w:rPr>
            </w:pPr>
          </w:p>
          <w:p w14:paraId="2CFDADCC">
            <w:pPr>
              <w:pStyle w:val="2"/>
              <w:rPr>
                <w:rFonts w:hint="eastAsia" w:ascii="仿宋" w:hAnsi="仿宋" w:eastAsia="仿宋" w:cs="仿宋"/>
                <w:sz w:val="22"/>
                <w:szCs w:val="22"/>
                <w:lang w:val="en-US" w:eastAsia="zh-CN"/>
              </w:rPr>
            </w:pPr>
          </w:p>
          <w:p w14:paraId="7E905D3B">
            <w:pPr>
              <w:jc w:val="center"/>
              <w:rPr>
                <w:rFonts w:hint="eastAsia" w:ascii="仿宋" w:hAnsi="仿宋" w:eastAsia="仿宋" w:cs="仿宋"/>
                <w:kern w:val="2"/>
                <w:sz w:val="22"/>
                <w:szCs w:val="22"/>
                <w:lang w:val="en-US" w:eastAsia="zh-CN" w:bidi="ar-SA"/>
              </w:rPr>
            </w:pPr>
            <w:r>
              <w:rPr>
                <w:rFonts w:hint="eastAsia" w:ascii="仿宋" w:hAnsi="仿宋" w:eastAsia="仿宋" w:cs="仿宋"/>
                <w:sz w:val="22"/>
                <w:szCs w:val="22"/>
                <w:lang w:val="en-US" w:eastAsia="zh-CN"/>
              </w:rPr>
              <w:t>0533-6967326</w:t>
            </w:r>
          </w:p>
        </w:tc>
      </w:tr>
    </w:tbl>
    <w:p w14:paraId="251A8391"/>
    <w:sectPr>
      <w:footerReference r:id="rId3" w:type="default"/>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4730482"/>
      <w:docPartObj>
        <w:docPartGallery w:val="autotext"/>
      </w:docPartObj>
    </w:sdtPr>
    <w:sdtContent>
      <w:p w14:paraId="121D5291">
        <w:pPr>
          <w:pStyle w:val="5"/>
          <w:jc w:val="center"/>
        </w:pPr>
        <w:r>
          <w:fldChar w:fldCharType="begin"/>
        </w:r>
        <w:r>
          <w:instrText xml:space="preserve">PAGE   \* MERGEFORMAT</w:instrText>
        </w:r>
        <w:r>
          <w:fldChar w:fldCharType="separate"/>
        </w:r>
        <w:r>
          <w:rPr>
            <w:lang w:val="zh-CN"/>
          </w:rPr>
          <w:t>4</w:t>
        </w:r>
        <w:r>
          <w:fldChar w:fldCharType="end"/>
        </w:r>
      </w:p>
    </w:sdtContent>
  </w:sdt>
  <w:p w14:paraId="0DD4EB8A">
    <w:pPr>
      <w:pStyle w:val="5"/>
      <w:ind w:firstLine="360" w:firstLineChars="20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FDD"/>
    <w:rsid w:val="00015970"/>
    <w:rsid w:val="00031212"/>
    <w:rsid w:val="0008639E"/>
    <w:rsid w:val="00087979"/>
    <w:rsid w:val="000A7023"/>
    <w:rsid w:val="000E7FAB"/>
    <w:rsid w:val="00127649"/>
    <w:rsid w:val="00131C9B"/>
    <w:rsid w:val="00132721"/>
    <w:rsid w:val="00141E66"/>
    <w:rsid w:val="00142CE5"/>
    <w:rsid w:val="001557E9"/>
    <w:rsid w:val="001A59BD"/>
    <w:rsid w:val="001C20E1"/>
    <w:rsid w:val="002C4E38"/>
    <w:rsid w:val="00300955"/>
    <w:rsid w:val="00313BE8"/>
    <w:rsid w:val="00317FC6"/>
    <w:rsid w:val="00325CDC"/>
    <w:rsid w:val="00357274"/>
    <w:rsid w:val="003A1124"/>
    <w:rsid w:val="003F33DB"/>
    <w:rsid w:val="00423A3B"/>
    <w:rsid w:val="00554DCC"/>
    <w:rsid w:val="00556F4A"/>
    <w:rsid w:val="00574C56"/>
    <w:rsid w:val="005A2E21"/>
    <w:rsid w:val="005A7687"/>
    <w:rsid w:val="005B4C27"/>
    <w:rsid w:val="005F55C7"/>
    <w:rsid w:val="0063405C"/>
    <w:rsid w:val="00642C4F"/>
    <w:rsid w:val="006D205F"/>
    <w:rsid w:val="00756E1B"/>
    <w:rsid w:val="0076365D"/>
    <w:rsid w:val="007945B3"/>
    <w:rsid w:val="007E2FDD"/>
    <w:rsid w:val="008C18B8"/>
    <w:rsid w:val="008E1D14"/>
    <w:rsid w:val="009631EE"/>
    <w:rsid w:val="00975118"/>
    <w:rsid w:val="009C4DED"/>
    <w:rsid w:val="00A30B33"/>
    <w:rsid w:val="00A76D10"/>
    <w:rsid w:val="00AA0A61"/>
    <w:rsid w:val="00AA4EFF"/>
    <w:rsid w:val="00AF6C2D"/>
    <w:rsid w:val="00B40CB0"/>
    <w:rsid w:val="00B64505"/>
    <w:rsid w:val="00BA1AA4"/>
    <w:rsid w:val="00BA32FC"/>
    <w:rsid w:val="00BA6A43"/>
    <w:rsid w:val="00BB56ED"/>
    <w:rsid w:val="00BD34F8"/>
    <w:rsid w:val="00C2443B"/>
    <w:rsid w:val="00D20650"/>
    <w:rsid w:val="00D51F3A"/>
    <w:rsid w:val="00DF1D58"/>
    <w:rsid w:val="00E95197"/>
    <w:rsid w:val="00EE28F5"/>
    <w:rsid w:val="00F97C4F"/>
    <w:rsid w:val="00FB678A"/>
    <w:rsid w:val="00FD5381"/>
    <w:rsid w:val="00FD7200"/>
    <w:rsid w:val="00FE37B1"/>
    <w:rsid w:val="0F6E2388"/>
    <w:rsid w:val="10BE321E"/>
    <w:rsid w:val="1E681BF4"/>
    <w:rsid w:val="2B1E0313"/>
    <w:rsid w:val="2C1C6E6C"/>
    <w:rsid w:val="31865FB9"/>
    <w:rsid w:val="47DF5247"/>
    <w:rsid w:val="4B722C1F"/>
    <w:rsid w:val="5603725B"/>
    <w:rsid w:val="585119A0"/>
    <w:rsid w:val="5DBD17B6"/>
    <w:rsid w:val="61A04C30"/>
    <w:rsid w:val="6AC45F98"/>
    <w:rsid w:val="787D50D2"/>
    <w:rsid w:val="7B3D7FFD"/>
    <w:rsid w:val="7D954FBF"/>
    <w:rsid w:val="7EF52F87"/>
    <w:rsid w:val="7FA02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Normal Indent"/>
    <w:basedOn w:val="1"/>
    <w:next w:val="1"/>
    <w:qFormat/>
    <w:uiPriority w:val="0"/>
    <w:pPr>
      <w:ind w:firstLine="420" w:firstLineChars="200"/>
    </w:pPr>
  </w:style>
  <w:style w:type="paragraph" w:styleId="4">
    <w:name w:val="Body Text Indent"/>
    <w:basedOn w:val="1"/>
    <w:next w:val="3"/>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545</Words>
  <Characters>565</Characters>
  <Lines>13</Lines>
  <Paragraphs>3</Paragraphs>
  <TotalTime>1</TotalTime>
  <ScaleCrop>false</ScaleCrop>
  <LinksUpToDate>false</LinksUpToDate>
  <CharactersWithSpaces>565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2022-02-14T07:50:00Z</dcterms:created>
  <dc:creator>lb</dc:creator>
  <cp:lastModifiedBy>Administrator</cp:lastModifiedBy>
  <dcterms:modified xsi:type="dcterms:W3CDTF">2025-07-01T07:23:53Z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eyJoZGlkIjoiNjE5ZjY1ZDE2MjliM2I4ZTYyYmE4ODI2ZmUxNTkyYmEifQ==</vt:lpwstr>
  </property>
  <property fmtid="{D5CDD505-2E9C-101B-9397-08002B2CF9AE}" pid="3" name="KSOProductBuildVer">
    <vt:lpwstr>2052-12.1.0.21541</vt:lpwstr>
  </property>
  <property fmtid="{D5CDD505-2E9C-101B-9397-08002B2CF9AE}" pid="4" name="ICV">
    <vt:lpwstr>E5CD88F397EF4A31A6C53E6FC7572118_13</vt:lpwstr>
  </property>
</Properties>
</file>