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89E30E">
      <w:pPr>
        <w:jc w:val="left"/>
        <w:rPr>
          <w:rFonts w:ascii="黑体" w:hAnsi="黑体" w:eastAsia="黑体"/>
          <w:sz w:val="32"/>
          <w:szCs w:val="32"/>
        </w:rPr>
      </w:pPr>
      <w:r>
        <w:rPr>
          <w:rFonts w:hint="eastAsia" w:ascii="黑体" w:hAnsi="黑体" w:eastAsia="黑体"/>
          <w:sz w:val="32"/>
          <w:szCs w:val="32"/>
        </w:rPr>
        <w:t>附件2：</w:t>
      </w:r>
      <w:bookmarkStart w:id="0" w:name="_GoBack"/>
      <w:bookmarkEnd w:id="0"/>
    </w:p>
    <w:p w14:paraId="32650C1D">
      <w:pPr>
        <w:jc w:val="center"/>
        <w:rPr>
          <w:rFonts w:ascii="方正小标宋简体" w:eastAsia="方正小标宋简体"/>
          <w:sz w:val="36"/>
          <w:szCs w:val="36"/>
        </w:rPr>
      </w:pPr>
      <w:r>
        <w:rPr>
          <w:rFonts w:hint="eastAsia" w:ascii="方正小标宋简体" w:eastAsia="方正小标宋简体"/>
          <w:sz w:val="36"/>
          <w:szCs w:val="36"/>
        </w:rPr>
        <w:t>高青县</w:t>
      </w:r>
      <w:r>
        <w:rPr>
          <w:rFonts w:hint="eastAsia" w:ascii="方正小标宋简体" w:eastAsia="方正小标宋简体"/>
          <w:sz w:val="36"/>
          <w:szCs w:val="36"/>
          <w:u w:val="single"/>
          <w:lang w:val="en-US" w:eastAsia="zh-CN"/>
        </w:rPr>
        <w:t>应急管理</w:t>
      </w:r>
      <w:r>
        <w:rPr>
          <w:rFonts w:hint="eastAsia" w:ascii="方正小标宋简体" w:eastAsia="方正小标宋简体"/>
          <w:sz w:val="36"/>
          <w:szCs w:val="36"/>
        </w:rPr>
        <w:t>局2025年民生实事项目第</w:t>
      </w:r>
      <w:r>
        <w:rPr>
          <w:rFonts w:hint="eastAsia" w:ascii="方正小标宋简体" w:eastAsia="方正小标宋简体"/>
          <w:sz w:val="36"/>
          <w:szCs w:val="36"/>
          <w:u w:val="single"/>
          <w:lang w:val="en-US" w:eastAsia="zh-CN"/>
        </w:rPr>
        <w:t>二</w:t>
      </w:r>
      <w:r>
        <w:rPr>
          <w:rFonts w:hint="eastAsia" w:ascii="方正小标宋简体" w:eastAsia="方正小标宋简体"/>
          <w:sz w:val="36"/>
          <w:szCs w:val="36"/>
        </w:rPr>
        <w:t>季度进展情况</w:t>
      </w:r>
    </w:p>
    <w:tbl>
      <w:tblPr>
        <w:tblStyle w:val="9"/>
        <w:tblW w:w="1516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20"/>
        <w:gridCol w:w="3005"/>
        <w:gridCol w:w="2988"/>
        <w:gridCol w:w="2343"/>
        <w:gridCol w:w="1805"/>
        <w:gridCol w:w="1707"/>
      </w:tblGrid>
      <w:tr w14:paraId="1B81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3320" w:type="dxa"/>
            <w:vAlign w:val="center"/>
          </w:tcPr>
          <w:p w14:paraId="1744F630">
            <w:pPr>
              <w:jc w:val="center"/>
              <w:rPr>
                <w:rFonts w:ascii="黑体" w:hAnsi="黑体" w:eastAsia="黑体"/>
                <w:sz w:val="32"/>
                <w:szCs w:val="32"/>
              </w:rPr>
            </w:pPr>
            <w:r>
              <w:rPr>
                <w:rFonts w:hint="eastAsia" w:ascii="黑体" w:hAnsi="黑体" w:eastAsia="黑体"/>
                <w:sz w:val="32"/>
                <w:szCs w:val="32"/>
              </w:rPr>
              <w:t>民生实事项目</w:t>
            </w:r>
          </w:p>
        </w:tc>
        <w:tc>
          <w:tcPr>
            <w:tcW w:w="3005" w:type="dxa"/>
            <w:vAlign w:val="center"/>
          </w:tcPr>
          <w:p w14:paraId="7B8C7626">
            <w:pPr>
              <w:jc w:val="center"/>
              <w:rPr>
                <w:rFonts w:ascii="黑体" w:hAnsi="黑体" w:eastAsia="黑体"/>
                <w:sz w:val="32"/>
                <w:szCs w:val="32"/>
              </w:rPr>
            </w:pPr>
            <w:r>
              <w:rPr>
                <w:rFonts w:hint="eastAsia" w:ascii="黑体" w:hAnsi="黑体" w:eastAsia="黑体"/>
                <w:sz w:val="32"/>
                <w:szCs w:val="32"/>
              </w:rPr>
              <w:t>执行措施、实施步骤</w:t>
            </w:r>
          </w:p>
        </w:tc>
        <w:tc>
          <w:tcPr>
            <w:tcW w:w="2988" w:type="dxa"/>
            <w:vAlign w:val="center"/>
          </w:tcPr>
          <w:p w14:paraId="2DEF31EC">
            <w:pPr>
              <w:jc w:val="center"/>
              <w:rPr>
                <w:rFonts w:ascii="黑体" w:hAnsi="黑体" w:eastAsia="黑体"/>
                <w:sz w:val="32"/>
                <w:szCs w:val="32"/>
              </w:rPr>
            </w:pPr>
            <w:r>
              <w:rPr>
                <w:rFonts w:hint="eastAsia" w:ascii="黑体" w:hAnsi="黑体" w:eastAsia="黑体"/>
                <w:sz w:val="32"/>
                <w:szCs w:val="32"/>
              </w:rPr>
              <w:t>工作进展、取得成效</w:t>
            </w:r>
          </w:p>
        </w:tc>
        <w:tc>
          <w:tcPr>
            <w:tcW w:w="2343" w:type="dxa"/>
            <w:vAlign w:val="center"/>
          </w:tcPr>
          <w:p w14:paraId="5D81589D">
            <w:pPr>
              <w:jc w:val="center"/>
              <w:rPr>
                <w:rFonts w:ascii="黑体" w:hAnsi="黑体" w:eastAsia="黑体"/>
                <w:sz w:val="32"/>
                <w:szCs w:val="32"/>
              </w:rPr>
            </w:pPr>
            <w:r>
              <w:rPr>
                <w:rFonts w:hint="eastAsia" w:ascii="黑体" w:hAnsi="黑体" w:eastAsia="黑体"/>
                <w:sz w:val="32"/>
                <w:szCs w:val="32"/>
              </w:rPr>
              <w:t>后续举措</w:t>
            </w:r>
          </w:p>
        </w:tc>
        <w:tc>
          <w:tcPr>
            <w:tcW w:w="1805" w:type="dxa"/>
            <w:vAlign w:val="center"/>
          </w:tcPr>
          <w:p w14:paraId="4A58B91A">
            <w:pPr>
              <w:jc w:val="center"/>
              <w:rPr>
                <w:rFonts w:ascii="黑体" w:hAnsi="黑体" w:eastAsia="黑体"/>
                <w:sz w:val="32"/>
                <w:szCs w:val="32"/>
              </w:rPr>
            </w:pPr>
            <w:r>
              <w:rPr>
                <w:rFonts w:hint="eastAsia" w:ascii="黑体" w:hAnsi="黑体" w:eastAsia="黑体"/>
                <w:sz w:val="32"/>
                <w:szCs w:val="32"/>
              </w:rPr>
              <w:t>责任分工</w:t>
            </w:r>
          </w:p>
        </w:tc>
        <w:tc>
          <w:tcPr>
            <w:tcW w:w="1707" w:type="dxa"/>
            <w:vAlign w:val="center"/>
          </w:tcPr>
          <w:p w14:paraId="1FF8F0D3">
            <w:pPr>
              <w:jc w:val="center"/>
              <w:rPr>
                <w:rFonts w:ascii="黑体" w:hAnsi="黑体" w:eastAsia="黑体"/>
                <w:sz w:val="32"/>
                <w:szCs w:val="32"/>
              </w:rPr>
            </w:pPr>
            <w:r>
              <w:rPr>
                <w:rFonts w:hint="eastAsia" w:ascii="黑体" w:hAnsi="黑体" w:eastAsia="黑体"/>
                <w:sz w:val="32"/>
                <w:szCs w:val="32"/>
              </w:rPr>
              <w:t>监督方式</w:t>
            </w:r>
          </w:p>
        </w:tc>
      </w:tr>
      <w:tr w14:paraId="6431E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2" w:hRule="atLeast"/>
        </w:trPr>
        <w:tc>
          <w:tcPr>
            <w:tcW w:w="3320" w:type="dxa"/>
            <w:vAlign w:val="top"/>
          </w:tcPr>
          <w:p w14:paraId="1D1F62AC">
            <w:pPr>
              <w:jc w:val="center"/>
              <w:rPr>
                <w:rFonts w:hint="eastAsia" w:ascii="仿宋" w:hAnsi="仿宋" w:eastAsia="仿宋" w:cs="仿宋"/>
                <w:sz w:val="22"/>
                <w:szCs w:val="22"/>
              </w:rPr>
            </w:pPr>
          </w:p>
          <w:p w14:paraId="472C2BF2">
            <w:pPr>
              <w:jc w:val="center"/>
              <w:rPr>
                <w:rFonts w:hint="eastAsia" w:ascii="仿宋" w:hAnsi="仿宋" w:eastAsia="仿宋" w:cs="仿宋"/>
                <w:sz w:val="22"/>
                <w:szCs w:val="22"/>
              </w:rPr>
            </w:pPr>
            <w:r>
              <w:rPr>
                <w:rFonts w:hint="eastAsia" w:ascii="仿宋" w:hAnsi="仿宋" w:eastAsia="仿宋" w:cs="仿宋"/>
                <w:sz w:val="22"/>
                <w:szCs w:val="22"/>
              </w:rPr>
              <w:t>2025年全面实现18种重点监管危险化工工艺自动化控制改造，涉及的物料具有甲乙类火灾危险性、中毒窒息危险性等并可能造成人身伤害的高危作业场所实现无人操作，涉及危险化学品的操作单元完成自动化改造。督促相关企业采用先进的技术装备进行安全技术改造，实现主要工艺装置及与其存在上下游关系的原料预处理、分步化学反应、产品后处理及储存、包装等工序的全流程自动化控制。</w:t>
            </w:r>
          </w:p>
        </w:tc>
        <w:tc>
          <w:tcPr>
            <w:tcW w:w="3005" w:type="dxa"/>
          </w:tcPr>
          <w:p w14:paraId="1D4E11E1">
            <w:pPr>
              <w:jc w:val="both"/>
              <w:rPr>
                <w:rFonts w:hint="eastAsia" w:ascii="仿宋" w:hAnsi="仿宋" w:eastAsia="仿宋" w:cs="仿宋"/>
                <w:sz w:val="22"/>
                <w:szCs w:val="22"/>
              </w:rPr>
            </w:pPr>
          </w:p>
          <w:p w14:paraId="414A9068">
            <w:pPr>
              <w:pStyle w:val="3"/>
              <w:rPr>
                <w:rFonts w:hint="eastAsia" w:ascii="仿宋" w:hAnsi="仿宋" w:eastAsia="仿宋" w:cs="仿宋"/>
                <w:sz w:val="22"/>
                <w:szCs w:val="22"/>
              </w:rPr>
            </w:pPr>
          </w:p>
          <w:p w14:paraId="1D78B1A3">
            <w:pPr>
              <w:pStyle w:val="3"/>
              <w:rPr>
                <w:rFonts w:hint="eastAsia" w:ascii="仿宋" w:hAnsi="仿宋" w:eastAsia="仿宋" w:cs="仿宋"/>
                <w:sz w:val="22"/>
                <w:szCs w:val="22"/>
              </w:rPr>
            </w:pPr>
          </w:p>
          <w:p w14:paraId="6E4B581F">
            <w:pPr>
              <w:jc w:val="center"/>
              <w:rPr>
                <w:rFonts w:hint="eastAsia" w:ascii="仿宋" w:hAnsi="仿宋" w:eastAsia="仿宋" w:cs="仿宋"/>
                <w:sz w:val="22"/>
                <w:szCs w:val="22"/>
              </w:rPr>
            </w:pPr>
            <w:r>
              <w:rPr>
                <w:rFonts w:hint="eastAsia" w:ascii="仿宋" w:hAnsi="仿宋" w:eastAsia="仿宋" w:cs="仿宋"/>
                <w:sz w:val="22"/>
                <w:szCs w:val="22"/>
              </w:rPr>
              <w:t>定期检查企业“三化”改造工作进展，督促企业按照整改方案进行整改，通过现场督导和执法检查的方式，倒逼企业加快整改进度，现场指导企业改造施工，确保改造施工期间的安全。</w:t>
            </w:r>
          </w:p>
        </w:tc>
        <w:tc>
          <w:tcPr>
            <w:tcW w:w="2988" w:type="dxa"/>
          </w:tcPr>
          <w:p w14:paraId="34E6F35D">
            <w:pPr>
              <w:jc w:val="center"/>
              <w:rPr>
                <w:rFonts w:hint="eastAsia" w:ascii="仿宋" w:hAnsi="仿宋" w:eastAsia="仿宋" w:cs="仿宋"/>
                <w:b w:val="0"/>
                <w:bCs w:val="0"/>
                <w:snapToGrid/>
                <w:color w:val="auto"/>
                <w:kern w:val="2"/>
                <w:sz w:val="22"/>
                <w:szCs w:val="22"/>
              </w:rPr>
            </w:pPr>
          </w:p>
          <w:p w14:paraId="2F310A35">
            <w:pPr>
              <w:jc w:val="center"/>
              <w:rPr>
                <w:rFonts w:hint="eastAsia" w:ascii="仿宋" w:hAnsi="仿宋" w:eastAsia="仿宋" w:cs="仿宋"/>
                <w:b w:val="0"/>
                <w:bCs w:val="0"/>
                <w:snapToGrid/>
                <w:color w:val="auto"/>
                <w:kern w:val="2"/>
                <w:sz w:val="22"/>
                <w:szCs w:val="22"/>
              </w:rPr>
            </w:pPr>
          </w:p>
          <w:p w14:paraId="168AE1BB">
            <w:pPr>
              <w:jc w:val="center"/>
              <w:rPr>
                <w:rFonts w:hint="eastAsia" w:ascii="仿宋" w:hAnsi="仿宋" w:eastAsia="仿宋" w:cs="仿宋"/>
                <w:b w:val="0"/>
                <w:bCs w:val="0"/>
                <w:snapToGrid/>
                <w:color w:val="auto"/>
                <w:kern w:val="2"/>
                <w:sz w:val="22"/>
                <w:szCs w:val="22"/>
              </w:rPr>
            </w:pPr>
          </w:p>
          <w:p w14:paraId="7F750395">
            <w:pPr>
              <w:jc w:val="center"/>
              <w:rPr>
                <w:rFonts w:hint="eastAsia" w:ascii="仿宋" w:hAnsi="仿宋" w:eastAsia="仿宋" w:cs="仿宋"/>
                <w:sz w:val="22"/>
                <w:szCs w:val="22"/>
              </w:rPr>
            </w:pPr>
            <w:r>
              <w:rPr>
                <w:rFonts w:hint="eastAsia" w:ascii="仿宋" w:hAnsi="仿宋" w:eastAsia="仿宋" w:cs="仿宋"/>
                <w:b w:val="0"/>
                <w:bCs w:val="0"/>
                <w:snapToGrid/>
                <w:color w:val="auto"/>
                <w:kern w:val="2"/>
                <w:sz w:val="22"/>
                <w:szCs w:val="22"/>
              </w:rPr>
              <w:t>对全县化工和危化品企业18种重点监管的危险化工工艺和22个化工过程操作单元进行</w:t>
            </w:r>
            <w:r>
              <w:rPr>
                <w:rFonts w:hint="eastAsia" w:ascii="仿宋" w:hAnsi="仿宋" w:eastAsia="仿宋" w:cs="仿宋"/>
                <w:b w:val="0"/>
                <w:bCs w:val="0"/>
                <w:snapToGrid/>
                <w:color w:val="auto"/>
                <w:kern w:val="2"/>
                <w:sz w:val="22"/>
                <w:szCs w:val="22"/>
                <w:lang w:eastAsia="zh-CN"/>
              </w:rPr>
              <w:t>全面</w:t>
            </w:r>
            <w:r>
              <w:rPr>
                <w:rFonts w:hint="eastAsia" w:ascii="仿宋" w:hAnsi="仿宋" w:eastAsia="仿宋" w:cs="仿宋"/>
                <w:b w:val="0"/>
                <w:bCs w:val="0"/>
                <w:snapToGrid/>
                <w:color w:val="auto"/>
                <w:kern w:val="2"/>
                <w:sz w:val="22"/>
                <w:szCs w:val="22"/>
              </w:rPr>
              <w:t>排查，共统计我县6家企业需进一步改造提升。督促6家企业分别制定了改造方案和工作计划，倒排工期，挂图作战。目前</w:t>
            </w:r>
            <w:r>
              <w:rPr>
                <w:rFonts w:hint="eastAsia" w:ascii="仿宋" w:hAnsi="仿宋" w:eastAsia="仿宋" w:cs="仿宋"/>
                <w:b w:val="0"/>
                <w:bCs w:val="0"/>
                <w:snapToGrid/>
                <w:color w:val="auto"/>
                <w:kern w:val="2"/>
                <w:sz w:val="22"/>
                <w:szCs w:val="22"/>
                <w:lang w:val="en-US" w:eastAsia="zh-CN"/>
              </w:rPr>
              <w:t>6家</w:t>
            </w:r>
            <w:r>
              <w:rPr>
                <w:rFonts w:hint="eastAsia" w:ascii="仿宋" w:hAnsi="仿宋" w:eastAsia="仿宋" w:cs="仿宋"/>
                <w:b w:val="0"/>
                <w:bCs w:val="0"/>
                <w:snapToGrid/>
                <w:color w:val="auto"/>
                <w:kern w:val="2"/>
                <w:sz w:val="22"/>
                <w:szCs w:val="22"/>
              </w:rPr>
              <w:t>企业</w:t>
            </w:r>
            <w:r>
              <w:rPr>
                <w:rFonts w:hint="eastAsia" w:ascii="仿宋" w:hAnsi="仿宋" w:eastAsia="仿宋" w:cs="仿宋"/>
                <w:b w:val="0"/>
                <w:bCs w:val="0"/>
                <w:snapToGrid/>
                <w:color w:val="auto"/>
                <w:kern w:val="2"/>
                <w:sz w:val="22"/>
                <w:szCs w:val="22"/>
                <w:lang w:eastAsia="zh-CN"/>
              </w:rPr>
              <w:t>已</w:t>
            </w:r>
            <w:r>
              <w:rPr>
                <w:rFonts w:hint="eastAsia" w:ascii="仿宋" w:hAnsi="仿宋" w:eastAsia="仿宋" w:cs="仿宋"/>
                <w:b w:val="0"/>
                <w:bCs w:val="0"/>
                <w:snapToGrid/>
                <w:color w:val="auto"/>
                <w:kern w:val="2"/>
                <w:sz w:val="22"/>
                <w:szCs w:val="22"/>
              </w:rPr>
              <w:t>全</w:t>
            </w:r>
            <w:r>
              <w:rPr>
                <w:rFonts w:hint="eastAsia" w:ascii="仿宋" w:hAnsi="仿宋" w:eastAsia="仿宋" w:cs="仿宋"/>
                <w:b w:val="0"/>
                <w:bCs w:val="0"/>
                <w:snapToGrid/>
                <w:color w:val="auto"/>
                <w:kern w:val="2"/>
                <w:sz w:val="22"/>
                <w:szCs w:val="22"/>
                <w:lang w:eastAsia="zh-CN"/>
              </w:rPr>
              <w:t>部</w:t>
            </w:r>
            <w:r>
              <w:rPr>
                <w:rFonts w:hint="eastAsia" w:ascii="仿宋" w:hAnsi="仿宋" w:eastAsia="仿宋" w:cs="仿宋"/>
                <w:b w:val="0"/>
                <w:bCs w:val="0"/>
                <w:snapToGrid/>
                <w:color w:val="auto"/>
                <w:kern w:val="2"/>
                <w:sz w:val="22"/>
                <w:szCs w:val="22"/>
              </w:rPr>
              <w:t>完成</w:t>
            </w:r>
            <w:r>
              <w:rPr>
                <w:rFonts w:hint="eastAsia" w:ascii="仿宋" w:hAnsi="仿宋" w:eastAsia="仿宋" w:cs="仿宋"/>
                <w:b w:val="0"/>
                <w:bCs w:val="0"/>
                <w:snapToGrid/>
                <w:color w:val="auto"/>
                <w:kern w:val="2"/>
                <w:sz w:val="22"/>
                <w:szCs w:val="22"/>
                <w:lang w:eastAsia="zh-CN"/>
              </w:rPr>
              <w:t>自动化改造。</w:t>
            </w:r>
          </w:p>
        </w:tc>
        <w:tc>
          <w:tcPr>
            <w:tcW w:w="2343" w:type="dxa"/>
          </w:tcPr>
          <w:p w14:paraId="4CE67851">
            <w:pPr>
              <w:pStyle w:val="7"/>
              <w:spacing w:after="0" w:line="300" w:lineRule="exact"/>
              <w:ind w:left="0" w:leftChars="0" w:firstLine="0" w:firstLineChars="0"/>
              <w:rPr>
                <w:rFonts w:hint="eastAsia" w:ascii="仿宋" w:hAnsi="仿宋" w:eastAsia="仿宋" w:cs="仿宋"/>
                <w:kern w:val="2"/>
                <w:sz w:val="22"/>
                <w:szCs w:val="22"/>
                <w:lang w:val="en-US" w:eastAsia="zh-CN" w:bidi="ar-SA"/>
              </w:rPr>
            </w:pPr>
          </w:p>
          <w:p w14:paraId="515E0084">
            <w:pPr>
              <w:rPr>
                <w:rFonts w:hint="eastAsia" w:ascii="仿宋" w:hAnsi="仿宋" w:eastAsia="仿宋" w:cs="仿宋"/>
                <w:sz w:val="22"/>
                <w:szCs w:val="22"/>
                <w:lang w:val="en-US" w:eastAsia="zh-CN"/>
              </w:rPr>
            </w:pPr>
          </w:p>
          <w:p w14:paraId="40065206">
            <w:pPr>
              <w:pStyle w:val="7"/>
              <w:spacing w:after="0" w:line="300" w:lineRule="exact"/>
              <w:ind w:left="0" w:leftChars="0" w:firstLine="0" w:firstLineChars="0"/>
              <w:jc w:val="center"/>
              <w:rPr>
                <w:rFonts w:hint="eastAsia" w:ascii="仿宋" w:hAnsi="仿宋" w:eastAsia="仿宋" w:cs="仿宋"/>
                <w:kern w:val="2"/>
                <w:sz w:val="22"/>
                <w:szCs w:val="22"/>
                <w:lang w:val="en-US" w:eastAsia="zh-CN" w:bidi="ar-SA"/>
              </w:rPr>
            </w:pPr>
            <w:r>
              <w:rPr>
                <w:rFonts w:hint="eastAsia" w:ascii="仿宋" w:hAnsi="仿宋" w:eastAsia="仿宋" w:cs="仿宋"/>
                <w:kern w:val="2"/>
                <w:sz w:val="22"/>
                <w:szCs w:val="22"/>
                <w:lang w:val="en-US" w:eastAsia="zh-CN" w:bidi="ar-SA"/>
              </w:rPr>
              <w:t>核查企业“三化”改造情况，通过“三化”改造，最大限度减少现场操作人员，消除人员在危险环境中暴露和人为误操作带来的安全风险，对企业“三化”改造完成后的实际运行情况组组织“回头看”，查漏补缺，提高“三化”改造工作质效。</w:t>
            </w:r>
          </w:p>
          <w:p w14:paraId="2AE5D791">
            <w:pPr>
              <w:jc w:val="center"/>
              <w:rPr>
                <w:rFonts w:hint="eastAsia" w:ascii="仿宋" w:hAnsi="仿宋" w:eastAsia="仿宋" w:cs="仿宋"/>
                <w:sz w:val="22"/>
                <w:szCs w:val="22"/>
              </w:rPr>
            </w:pPr>
          </w:p>
        </w:tc>
        <w:tc>
          <w:tcPr>
            <w:tcW w:w="1805" w:type="dxa"/>
            <w:vAlign w:val="top"/>
          </w:tcPr>
          <w:p w14:paraId="12669AEA">
            <w:pPr>
              <w:jc w:val="center"/>
              <w:rPr>
                <w:rFonts w:hint="eastAsia" w:ascii="仿宋" w:hAnsi="仿宋" w:eastAsia="仿宋" w:cs="仿宋"/>
                <w:sz w:val="22"/>
                <w:szCs w:val="22"/>
                <w:lang w:val="en-US" w:eastAsia="zh-CN"/>
              </w:rPr>
            </w:pPr>
          </w:p>
          <w:p w14:paraId="14C5B599">
            <w:pPr>
              <w:jc w:val="center"/>
              <w:rPr>
                <w:rFonts w:hint="eastAsia" w:ascii="仿宋" w:hAnsi="仿宋" w:eastAsia="仿宋" w:cs="仿宋"/>
                <w:sz w:val="22"/>
                <w:szCs w:val="22"/>
                <w:lang w:val="en-US" w:eastAsia="zh-CN"/>
              </w:rPr>
            </w:pPr>
          </w:p>
          <w:p w14:paraId="3F572009">
            <w:pPr>
              <w:jc w:val="center"/>
              <w:rPr>
                <w:rFonts w:hint="eastAsia" w:ascii="仿宋" w:hAnsi="仿宋" w:eastAsia="仿宋" w:cs="仿宋"/>
                <w:sz w:val="22"/>
                <w:szCs w:val="22"/>
                <w:lang w:val="en-US" w:eastAsia="zh-CN"/>
              </w:rPr>
            </w:pPr>
          </w:p>
          <w:p w14:paraId="440F6446">
            <w:pPr>
              <w:jc w:val="center"/>
              <w:rPr>
                <w:rFonts w:hint="eastAsia" w:ascii="仿宋" w:hAnsi="仿宋" w:eastAsia="仿宋" w:cs="仿宋"/>
                <w:sz w:val="22"/>
                <w:szCs w:val="22"/>
                <w:lang w:val="en-US" w:eastAsia="zh-CN"/>
              </w:rPr>
            </w:pPr>
          </w:p>
          <w:p w14:paraId="184752BE">
            <w:pPr>
              <w:jc w:val="center"/>
              <w:rPr>
                <w:rFonts w:hint="eastAsia" w:ascii="仿宋" w:hAnsi="仿宋" w:eastAsia="仿宋" w:cs="仿宋"/>
                <w:sz w:val="22"/>
                <w:szCs w:val="22"/>
                <w:lang w:val="en-US" w:eastAsia="zh-CN"/>
              </w:rPr>
            </w:pPr>
          </w:p>
          <w:p w14:paraId="55640779">
            <w:pPr>
              <w:pStyle w:val="3"/>
              <w:rPr>
                <w:rFonts w:hint="eastAsia" w:ascii="仿宋" w:hAnsi="仿宋" w:eastAsia="仿宋" w:cs="仿宋"/>
                <w:sz w:val="22"/>
                <w:szCs w:val="22"/>
                <w:lang w:val="en-US" w:eastAsia="zh-CN"/>
              </w:rPr>
            </w:pPr>
          </w:p>
          <w:p w14:paraId="77ED3BC3">
            <w:pPr>
              <w:jc w:val="center"/>
              <w:rPr>
                <w:rFonts w:hint="eastAsia" w:ascii="仿宋" w:hAnsi="仿宋" w:eastAsia="仿宋" w:cs="仿宋"/>
                <w:sz w:val="22"/>
                <w:szCs w:val="22"/>
              </w:rPr>
            </w:pPr>
            <w:r>
              <w:rPr>
                <w:rFonts w:hint="eastAsia" w:ascii="仿宋" w:hAnsi="仿宋" w:eastAsia="仿宋" w:cs="仿宋"/>
                <w:sz w:val="22"/>
                <w:szCs w:val="22"/>
                <w:lang w:val="en-US" w:eastAsia="zh-CN"/>
              </w:rPr>
              <w:t>县应急局危化科</w:t>
            </w:r>
          </w:p>
        </w:tc>
        <w:tc>
          <w:tcPr>
            <w:tcW w:w="1707" w:type="dxa"/>
            <w:vAlign w:val="top"/>
          </w:tcPr>
          <w:p w14:paraId="37429A23">
            <w:pPr>
              <w:jc w:val="center"/>
              <w:rPr>
                <w:rFonts w:hint="eastAsia" w:ascii="仿宋" w:hAnsi="仿宋" w:eastAsia="仿宋" w:cs="仿宋"/>
                <w:sz w:val="22"/>
                <w:szCs w:val="22"/>
                <w:lang w:val="en-US" w:eastAsia="zh-CN"/>
              </w:rPr>
            </w:pPr>
          </w:p>
          <w:p w14:paraId="47D4221D">
            <w:pPr>
              <w:jc w:val="center"/>
              <w:rPr>
                <w:rFonts w:hint="eastAsia" w:ascii="仿宋" w:hAnsi="仿宋" w:eastAsia="仿宋" w:cs="仿宋"/>
                <w:sz w:val="22"/>
                <w:szCs w:val="22"/>
                <w:lang w:val="en-US" w:eastAsia="zh-CN"/>
              </w:rPr>
            </w:pPr>
          </w:p>
          <w:p w14:paraId="2F3FB0D8">
            <w:pPr>
              <w:jc w:val="center"/>
              <w:rPr>
                <w:rFonts w:hint="eastAsia" w:ascii="仿宋" w:hAnsi="仿宋" w:eastAsia="仿宋" w:cs="仿宋"/>
                <w:sz w:val="22"/>
                <w:szCs w:val="22"/>
                <w:lang w:val="en-US" w:eastAsia="zh-CN"/>
              </w:rPr>
            </w:pPr>
          </w:p>
          <w:p w14:paraId="369EB22D">
            <w:pPr>
              <w:jc w:val="center"/>
              <w:rPr>
                <w:rFonts w:hint="eastAsia" w:ascii="仿宋" w:hAnsi="仿宋" w:eastAsia="仿宋" w:cs="仿宋"/>
                <w:sz w:val="22"/>
                <w:szCs w:val="22"/>
                <w:lang w:val="en-US" w:eastAsia="zh-CN"/>
              </w:rPr>
            </w:pPr>
          </w:p>
          <w:p w14:paraId="3095E7DD">
            <w:pPr>
              <w:jc w:val="center"/>
              <w:rPr>
                <w:rFonts w:hint="eastAsia" w:ascii="仿宋" w:hAnsi="仿宋" w:eastAsia="仿宋" w:cs="仿宋"/>
                <w:sz w:val="22"/>
                <w:szCs w:val="22"/>
                <w:lang w:val="en-US" w:eastAsia="zh-CN"/>
              </w:rPr>
            </w:pPr>
          </w:p>
          <w:p w14:paraId="3880EAD2">
            <w:pPr>
              <w:pStyle w:val="3"/>
              <w:rPr>
                <w:rFonts w:hint="eastAsia" w:ascii="仿宋" w:hAnsi="仿宋" w:eastAsia="仿宋" w:cs="仿宋"/>
                <w:sz w:val="22"/>
                <w:szCs w:val="22"/>
                <w:lang w:val="en-US" w:eastAsia="zh-CN"/>
              </w:rPr>
            </w:pPr>
          </w:p>
          <w:p w14:paraId="2D5E6C40">
            <w:pPr>
              <w:jc w:val="center"/>
              <w:rPr>
                <w:rFonts w:hint="eastAsia" w:ascii="仿宋" w:hAnsi="仿宋" w:eastAsia="仿宋" w:cs="仿宋"/>
                <w:sz w:val="22"/>
                <w:szCs w:val="22"/>
              </w:rPr>
            </w:pPr>
            <w:r>
              <w:rPr>
                <w:rFonts w:hint="eastAsia" w:ascii="仿宋" w:hAnsi="仿宋" w:eastAsia="仿宋" w:cs="仿宋"/>
                <w:sz w:val="22"/>
                <w:szCs w:val="22"/>
                <w:lang w:val="en-US" w:eastAsia="zh-CN"/>
              </w:rPr>
              <w:t>0533-6967326</w:t>
            </w:r>
          </w:p>
        </w:tc>
      </w:tr>
    </w:tbl>
    <w:p w14:paraId="3B7F6F0A">
      <w:pPr>
        <w:jc w:val="left"/>
        <w:rPr>
          <w:rFonts w:ascii="仿宋_GB2312" w:hAnsi="黑体" w:eastAsia="仿宋_GB2312"/>
          <w:sz w:val="30"/>
          <w:szCs w:val="30"/>
        </w:rPr>
      </w:pPr>
    </w:p>
    <w:sectPr>
      <w:footerReference r:id="rId3" w:type="default"/>
      <w:pgSz w:w="16838" w:h="11906" w:orient="landscape"/>
      <w:pgMar w:top="1134" w:right="1440" w:bottom="1134" w:left="1440"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21616674"/>
      <w:docPartObj>
        <w:docPartGallery w:val="autotext"/>
      </w:docPartObj>
    </w:sdtPr>
    <w:sdtContent>
      <w:p w14:paraId="3A7D5266">
        <w:pPr>
          <w:pStyle w:val="5"/>
          <w:jc w:val="center"/>
        </w:pPr>
        <w:r>
          <w:fldChar w:fldCharType="begin"/>
        </w:r>
        <w:r>
          <w:instrText xml:space="preserve">PAGE   \* MERGEFORMAT</w:instrText>
        </w:r>
        <w:r>
          <w:fldChar w:fldCharType="separate"/>
        </w:r>
        <w:r>
          <w:rPr>
            <w:lang w:val="zh-CN"/>
          </w:rPr>
          <w:t>4</w:t>
        </w:r>
        <w:r>
          <w:fldChar w:fldCharType="end"/>
        </w:r>
      </w:p>
    </w:sdtContent>
  </w:sdt>
  <w:p w14:paraId="532BC5CE">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6960"/>
    <w:rsid w:val="0000592D"/>
    <w:rsid w:val="00023289"/>
    <w:rsid w:val="00096543"/>
    <w:rsid w:val="000B6960"/>
    <w:rsid w:val="000B6B00"/>
    <w:rsid w:val="000D6A52"/>
    <w:rsid w:val="001060AD"/>
    <w:rsid w:val="00121AB5"/>
    <w:rsid w:val="00125178"/>
    <w:rsid w:val="00145854"/>
    <w:rsid w:val="001A3A6A"/>
    <w:rsid w:val="001B3CBC"/>
    <w:rsid w:val="001E11CA"/>
    <w:rsid w:val="00241562"/>
    <w:rsid w:val="00283CC5"/>
    <w:rsid w:val="0029619D"/>
    <w:rsid w:val="002C4E6A"/>
    <w:rsid w:val="003244B3"/>
    <w:rsid w:val="003509D5"/>
    <w:rsid w:val="003D66D1"/>
    <w:rsid w:val="003E7AC3"/>
    <w:rsid w:val="003F1D1B"/>
    <w:rsid w:val="00430599"/>
    <w:rsid w:val="00435C24"/>
    <w:rsid w:val="0044068A"/>
    <w:rsid w:val="00481B33"/>
    <w:rsid w:val="0049654D"/>
    <w:rsid w:val="004B1F4A"/>
    <w:rsid w:val="004B4994"/>
    <w:rsid w:val="004C0627"/>
    <w:rsid w:val="00553401"/>
    <w:rsid w:val="00557555"/>
    <w:rsid w:val="005F5D0A"/>
    <w:rsid w:val="00600ABD"/>
    <w:rsid w:val="00643696"/>
    <w:rsid w:val="00647654"/>
    <w:rsid w:val="006C5A3B"/>
    <w:rsid w:val="006D1645"/>
    <w:rsid w:val="006E397E"/>
    <w:rsid w:val="006F7A97"/>
    <w:rsid w:val="00732520"/>
    <w:rsid w:val="00734D30"/>
    <w:rsid w:val="0076762C"/>
    <w:rsid w:val="0083761E"/>
    <w:rsid w:val="008B135F"/>
    <w:rsid w:val="008D6935"/>
    <w:rsid w:val="00910B70"/>
    <w:rsid w:val="00910CBB"/>
    <w:rsid w:val="00917337"/>
    <w:rsid w:val="00971FAC"/>
    <w:rsid w:val="00A43552"/>
    <w:rsid w:val="00A4739C"/>
    <w:rsid w:val="00A90AAE"/>
    <w:rsid w:val="00AA145E"/>
    <w:rsid w:val="00B159CB"/>
    <w:rsid w:val="00B41A5D"/>
    <w:rsid w:val="00B91C62"/>
    <w:rsid w:val="00BE16E2"/>
    <w:rsid w:val="00C13708"/>
    <w:rsid w:val="00C140D9"/>
    <w:rsid w:val="00C6442C"/>
    <w:rsid w:val="00C65C8D"/>
    <w:rsid w:val="00C95333"/>
    <w:rsid w:val="00CA32DC"/>
    <w:rsid w:val="00CD4A66"/>
    <w:rsid w:val="00CE0605"/>
    <w:rsid w:val="00CE6A2C"/>
    <w:rsid w:val="00CF66C1"/>
    <w:rsid w:val="00D20C54"/>
    <w:rsid w:val="00D25B32"/>
    <w:rsid w:val="00D63FB3"/>
    <w:rsid w:val="00D66C0A"/>
    <w:rsid w:val="00D85475"/>
    <w:rsid w:val="00D95235"/>
    <w:rsid w:val="00E01130"/>
    <w:rsid w:val="00E25065"/>
    <w:rsid w:val="00E52778"/>
    <w:rsid w:val="00E8344B"/>
    <w:rsid w:val="00EB17E7"/>
    <w:rsid w:val="00EB3C1D"/>
    <w:rsid w:val="00FB269C"/>
    <w:rsid w:val="00FB2767"/>
    <w:rsid w:val="00FD5C04"/>
    <w:rsid w:val="13976C14"/>
    <w:rsid w:val="219F5831"/>
    <w:rsid w:val="2271079B"/>
    <w:rsid w:val="22A0473E"/>
    <w:rsid w:val="22C63C28"/>
    <w:rsid w:val="41747B9C"/>
    <w:rsid w:val="4A66196B"/>
    <w:rsid w:val="4D9D560B"/>
    <w:rsid w:val="5A321D4E"/>
    <w:rsid w:val="5F88445C"/>
    <w:rsid w:val="671E1113"/>
    <w:rsid w:val="6CA72BDB"/>
    <w:rsid w:val="6F6512B3"/>
    <w:rsid w:val="7EB115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w:basedOn w:val="1"/>
    <w:qFormat/>
    <w:uiPriority w:val="0"/>
    <w:pPr>
      <w:spacing w:after="120"/>
    </w:pPr>
    <w:rPr>
      <w:rFonts w:ascii="Times New Roman" w:hAnsi="Times New Roman" w:eastAsia="宋体" w:cs="Times New Roman"/>
    </w:rPr>
  </w:style>
  <w:style w:type="paragraph" w:styleId="4">
    <w:name w:val="Body Text Indent"/>
    <w:basedOn w:val="1"/>
    <w:next w:val="2"/>
    <w:qFormat/>
    <w:uiPriority w:val="0"/>
    <w:pPr>
      <w:spacing w:after="120" w:afterLines="0" w:afterAutospacing="0"/>
      <w:ind w:left="420" w:leftChars="200"/>
    </w:pPr>
    <w:rPr>
      <w:rFonts w:ascii="Calibri" w:hAnsi="Calibri" w:eastAsia="宋体" w:cs="Times New Roma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Body Text First Indent 2"/>
    <w:basedOn w:val="4"/>
    <w:next w:val="1"/>
    <w:qFormat/>
    <w:uiPriority w:val="0"/>
    <w:pPr>
      <w:widowControl w:val="0"/>
      <w:spacing w:after="120"/>
      <w:ind w:left="420" w:leftChars="200" w:firstLine="420" w:firstLineChars="200"/>
      <w:jc w:val="both"/>
    </w:pPr>
    <w:rPr>
      <w:rFonts w:ascii="Calibri" w:hAnsi="Calibri" w:eastAsia="仿宋_GB2312" w:cs="Times New Roman"/>
      <w:kern w:val="2"/>
      <w:sz w:val="32"/>
      <w:szCs w:val="24"/>
      <w:lang w:val="en-US" w:eastAsia="zh-CN" w:bidi="ar-SA"/>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页眉 Char"/>
    <w:basedOn w:val="10"/>
    <w:link w:val="6"/>
    <w:qFormat/>
    <w:uiPriority w:val="99"/>
    <w:rPr>
      <w:sz w:val="18"/>
      <w:szCs w:val="18"/>
    </w:rPr>
  </w:style>
  <w:style w:type="character" w:customStyle="1" w:styleId="12">
    <w:name w:val="页脚 Char"/>
    <w:basedOn w:val="10"/>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Pages>
  <Words>541</Words>
  <Characters>561</Characters>
  <Lines>7</Lines>
  <Paragraphs>2</Paragraphs>
  <TotalTime>3</TotalTime>
  <ScaleCrop>false</ScaleCrop>
  <LinksUpToDate>false</LinksUpToDate>
  <CharactersWithSpaces>561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2021-03-25T02:57:00Z</dcterms:created>
  <dc:creator>lb</dc:creator>
  <cp:lastModifiedBy>Administrator</cp:lastModifiedBy>
  <dcterms:modified xsi:type="dcterms:W3CDTF">2025-07-01T07:30:07Z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eyJoZGlkIjoiNjE5ZjY1ZDE2MjliM2I4ZTYyYmE4ODI2ZmUxNTkyYmEifQ==</vt:lpwstr>
  </property>
  <property fmtid="{D5CDD505-2E9C-101B-9397-08002B2CF9AE}" pid="3" name="KSOProductBuildVer">
    <vt:lpwstr>2052-12.1.0.21541</vt:lpwstr>
  </property>
  <property fmtid="{D5CDD505-2E9C-101B-9397-08002B2CF9AE}" pid="4" name="ICV">
    <vt:lpwstr>65C8AB9819F649969AA7A91DC64C7DE7_12</vt:lpwstr>
  </property>
</Properties>
</file>