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D7FBA">
      <w:pPr>
        <w:jc w:val="center"/>
      </w:pPr>
      <w:r>
        <w:rPr>
          <w:rFonts w:hint="eastAsia" w:ascii="宋体" w:hAnsi="宋体" w:eastAsia="宋体" w:cs="宋体"/>
          <w:b/>
          <w:bCs/>
          <w:kern w:val="2"/>
          <w:sz w:val="32"/>
          <w:szCs w:val="32"/>
          <w:lang w:val="en-US" w:eastAsia="zh-CN" w:bidi="ar"/>
        </w:rPr>
        <w:t>高青县应急管理局2026年6月份“双随机、一公开”监查抽查结果</w:t>
      </w:r>
    </w:p>
    <w:tbl>
      <w:tblPr>
        <w:tblStyle w:val="6"/>
        <w:tblW w:w="14517"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1"/>
        <w:gridCol w:w="1103"/>
        <w:gridCol w:w="716"/>
        <w:gridCol w:w="1547"/>
        <w:gridCol w:w="1223"/>
        <w:gridCol w:w="571"/>
        <w:gridCol w:w="5469"/>
        <w:gridCol w:w="1118"/>
        <w:gridCol w:w="716"/>
        <w:gridCol w:w="1373"/>
      </w:tblGrid>
      <w:tr w14:paraId="6E0A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1CF0499">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rPr>
            </w:pPr>
            <w:r>
              <w:rPr>
                <w:rFonts w:hint="eastAsia" w:ascii="黑体" w:hAnsi="宋体" w:eastAsia="黑体" w:cs="黑体"/>
                <w:b/>
                <w:bCs/>
              </w:rPr>
              <w:t>序号</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1717976">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执法机关</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1DD6720">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执法类别</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78B51AE">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执法决定书文号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08F77B">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bidi="ar"/>
              </w:rPr>
            </w:pPr>
            <w:r>
              <w:rPr>
                <w:rFonts w:hint="eastAsia" w:ascii="黑体" w:hAnsi="宋体" w:eastAsia="黑体" w:cs="黑体"/>
                <w:b/>
                <w:bCs/>
              </w:rPr>
              <w:t>行政相对人名称</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99BBF9D">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事项名称</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D226A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sz w:val="24"/>
                <w:szCs w:val="24"/>
                <w:lang w:val="en-US"/>
              </w:rPr>
            </w:pPr>
            <w:r>
              <w:rPr>
                <w:rFonts w:hint="eastAsia" w:ascii="黑体" w:hAnsi="宋体" w:eastAsia="黑体" w:cs="黑体"/>
                <w:b/>
                <w:bCs/>
                <w:kern w:val="2"/>
                <w:sz w:val="24"/>
                <w:szCs w:val="24"/>
                <w:lang w:val="en-US" w:eastAsia="zh-CN" w:bidi="ar"/>
              </w:rPr>
              <w:t>主要事实</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AD2C88C">
            <w:pPr>
              <w:pStyle w:val="4"/>
              <w:keepNext w:val="0"/>
              <w:keepLines w:val="0"/>
              <w:pageBreakBefore w:val="0"/>
              <w:widowControl/>
              <w:suppressLineNumbers w:val="0"/>
              <w:tabs>
                <w:tab w:val="left" w:pos="393"/>
              </w:tabs>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bidi="ar"/>
              </w:rPr>
            </w:pPr>
            <w:r>
              <w:rPr>
                <w:rFonts w:hint="eastAsia" w:ascii="黑体" w:hAnsi="宋体" w:eastAsia="黑体" w:cs="黑体"/>
                <w:b/>
                <w:bCs/>
                <w:lang w:bidi="ar"/>
              </w:rPr>
              <w:t>执法依据</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8DF2A95">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rPr>
            </w:pPr>
            <w:r>
              <w:rPr>
                <w:rFonts w:hint="eastAsia" w:ascii="黑体" w:hAnsi="宋体" w:eastAsia="黑体" w:cs="黑体"/>
                <w:b/>
                <w:bCs/>
              </w:rPr>
              <w:t>执法结论</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1304FF1">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bidi="ar"/>
              </w:rPr>
            </w:pPr>
            <w:r>
              <w:rPr>
                <w:rFonts w:hint="eastAsia" w:ascii="黑体" w:hAnsi="宋体" w:eastAsia="黑体" w:cs="黑体"/>
                <w:b/>
                <w:bCs/>
              </w:rPr>
              <w:t>执法日期</w:t>
            </w:r>
          </w:p>
        </w:tc>
      </w:tr>
      <w:tr w14:paraId="4657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EC25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1</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8E934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BEFE8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DD2A0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bidi="ar"/>
              </w:rPr>
              <w:t>(鲁淄高) 应急检记〔2026〕147号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3BA81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shd w:val="clear" w:color="auto" w:fill="FFFFFF"/>
              </w:rPr>
              <w:t>山东兴鲁承宏新材料科技有限公司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D0695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9841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1、锅炉房内氮气瓶使用绳子作为防倾倒措施</w:t>
            </w:r>
            <w:r>
              <w:rPr>
                <w:rFonts w:hint="eastAsia" w:ascii="仿宋" w:hAnsi="仿宋" w:eastAsia="仿宋" w:cs="仿宋"/>
                <w:color w:val="000000"/>
                <w:sz w:val="24"/>
                <w:szCs w:val="24"/>
                <w:u w:val="none"/>
                <w:lang w:eastAsia="zh-CN"/>
              </w:rPr>
              <w:t>。</w:t>
            </w:r>
          </w:p>
          <w:p w14:paraId="7F5164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2、4#环氧乙烷二级重大危险源罐区应急处置卡未根据新标准更新</w:t>
            </w:r>
            <w:r>
              <w:rPr>
                <w:rFonts w:hint="eastAsia" w:ascii="仿宋" w:hAnsi="仿宋" w:eastAsia="仿宋" w:cs="仿宋"/>
                <w:color w:val="000000"/>
                <w:sz w:val="24"/>
                <w:szCs w:val="24"/>
                <w:u w:val="none"/>
                <w:lang w:eastAsia="zh-CN"/>
              </w:rPr>
              <w:t>。</w:t>
            </w:r>
          </w:p>
          <w:p w14:paraId="18C3CD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u w:val="none"/>
              </w:rPr>
              <w:t>3、甲类仓库安全出口未设置安全出口标识。</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388F9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C7EF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50A09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26</w:t>
            </w:r>
          </w:p>
        </w:tc>
      </w:tr>
      <w:tr w14:paraId="7261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3005E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2</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26D76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17EC9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CBA75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bidi="ar"/>
              </w:rPr>
              <w:t>(鲁淄高)应急检记〔2026〕145号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6B868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shd w:val="clear" w:color="auto" w:fill="FFFFFF"/>
              </w:rPr>
              <w:t>淄博力之信新材料科技有限公司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9B8B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DC6D7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1、厂区内限高标识褪色</w:t>
            </w:r>
            <w:r>
              <w:rPr>
                <w:rFonts w:hint="eastAsia" w:ascii="仿宋" w:hAnsi="仿宋" w:eastAsia="仿宋" w:cs="仿宋"/>
                <w:color w:val="000000"/>
                <w:sz w:val="24"/>
                <w:szCs w:val="24"/>
                <w:u w:val="none"/>
                <w:lang w:eastAsia="zh-CN"/>
              </w:rPr>
              <w:t>。</w:t>
            </w:r>
          </w:p>
          <w:p w14:paraId="14CA6B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2、罐区储罐未标名称</w:t>
            </w:r>
            <w:r>
              <w:rPr>
                <w:rFonts w:hint="eastAsia" w:ascii="仿宋" w:hAnsi="仿宋" w:eastAsia="仿宋" w:cs="仿宋"/>
                <w:color w:val="000000"/>
                <w:sz w:val="24"/>
                <w:szCs w:val="24"/>
                <w:u w:val="none"/>
                <w:lang w:eastAsia="zh-CN"/>
              </w:rPr>
              <w:t>。</w:t>
            </w:r>
          </w:p>
          <w:p w14:paraId="6838C17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u w:val="none"/>
              </w:rPr>
              <w:t>3、叉车在停放状态下未及时将钥匙拔出并专、门放置。</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99193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96DFF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B3465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26</w:t>
            </w:r>
          </w:p>
        </w:tc>
      </w:tr>
      <w:tr w14:paraId="60D0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ADC3D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3</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BB39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147AA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DEC28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bidi="ar"/>
              </w:rPr>
              <w:t>(鲁淄高)应急检记〔2026〕144号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48EFF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shd w:val="clear" w:color="auto" w:fill="FFFFFF"/>
              </w:rPr>
              <w:t>南大光电（淄博）有限公司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70B95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18E16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none"/>
              </w:rPr>
              <w:t>V7002A氟化氢计量槽进出料管线未做介质流向标识</w:t>
            </w:r>
            <w:r>
              <w:rPr>
                <w:rFonts w:hint="eastAsia" w:ascii="仿宋" w:hAnsi="仿宋" w:eastAsia="仿宋" w:cs="仿宋"/>
                <w:color w:val="000000"/>
                <w:sz w:val="24"/>
                <w:szCs w:val="24"/>
                <w:u w:val="none"/>
                <w:lang w:eastAsia="zh-CN"/>
              </w:rPr>
              <w:t>。</w:t>
            </w:r>
          </w:p>
          <w:p w14:paraId="115757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u w:val="none"/>
              </w:rPr>
              <w:t>2</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none"/>
              </w:rPr>
              <w:t>高纯氨装置V101A磁翻板液位计有断层。</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1927C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03617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32CE2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25</w:t>
            </w:r>
          </w:p>
        </w:tc>
      </w:tr>
      <w:tr w14:paraId="3CB8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D3A58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4</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C61E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2"/>
                <w:sz w:val="24"/>
                <w:szCs w:val="24"/>
                <w:lang w:val="en-US" w:eastAsia="zh-CN" w:bidi="ar-SA"/>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4D439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2"/>
                <w:sz w:val="24"/>
                <w:szCs w:val="24"/>
                <w:lang w:val="en-US" w:eastAsia="zh-CN" w:bidi="ar-SA"/>
              </w:rPr>
              <w:t>行政检查</w:t>
            </w:r>
          </w:p>
        </w:tc>
        <w:tc>
          <w:tcPr>
            <w:tcW w:w="1517" w:type="dxa"/>
            <w:shd w:val="clear" w:color="auto" w:fill="auto"/>
            <w:vAlign w:val="center"/>
          </w:tcPr>
          <w:p w14:paraId="40F9B2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（鲁淄高）应急检记〔2026〕128号</w:t>
            </w:r>
          </w:p>
        </w:tc>
        <w:tc>
          <w:tcPr>
            <w:tcW w:w="1193" w:type="dxa"/>
            <w:shd w:val="clear" w:color="auto" w:fill="auto"/>
            <w:tcMar>
              <w:top w:w="0" w:type="dxa"/>
              <w:left w:w="0" w:type="dxa"/>
              <w:bottom w:w="0" w:type="dxa"/>
              <w:right w:w="0" w:type="dxa"/>
            </w:tcMar>
            <w:vAlign w:val="center"/>
          </w:tcPr>
          <w:p w14:paraId="26DCD49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val="en-US" w:eastAsia="zh-CN"/>
              </w:rPr>
              <w:t>山东开泰石化丙烯酸有限公司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34159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auto"/>
                <w:kern w:val="2"/>
                <w:sz w:val="24"/>
                <w:szCs w:val="24"/>
                <w:lang w:val="en-US" w:eastAsia="zh-CN" w:bidi="ar-SA"/>
              </w:rPr>
              <w:t>安全生产检查</w:t>
            </w:r>
          </w:p>
        </w:tc>
        <w:tc>
          <w:tcPr>
            <w:tcW w:w="5439" w:type="dxa"/>
            <w:shd w:val="clear" w:color="auto" w:fill="auto"/>
            <w:vAlign w:val="center"/>
          </w:tcPr>
          <w:p w14:paraId="22929B19">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1、空压机房门前桥架盖板闭合不严。</w:t>
            </w:r>
          </w:p>
          <w:p w14:paraId="4687AD07">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2、V5300-1硫酸罐处防喷溅罩缺失。</w:t>
            </w:r>
          </w:p>
          <w:p w14:paraId="7B920EBC">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3、V5300-1硫酸罐处控制柜缺少跨接。</w:t>
            </w:r>
          </w:p>
          <w:p w14:paraId="4384875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4、硫酸储罐南侧墙壁管线进出口处防火封堵缺失。</w:t>
            </w:r>
          </w:p>
          <w:p w14:paraId="18FBA5E7">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kern w:val="2"/>
                <w:sz w:val="24"/>
                <w:szCs w:val="24"/>
                <w:lang w:val="en-US" w:eastAsia="zh-CN" w:bidi="ar-SA"/>
              </w:rPr>
              <w:t>5、6月4日重大危险源综合演练未记录具体时间。</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782A9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2"/>
                <w:sz w:val="24"/>
                <w:szCs w:val="24"/>
                <w:lang w:val="en-US" w:eastAsia="zh-CN" w:bidi="ar-SA"/>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1E9C4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2"/>
                <w:sz w:val="24"/>
                <w:szCs w:val="24"/>
                <w:lang w:val="en-US" w:eastAsia="zh-CN" w:bidi="ar-SA"/>
              </w:rPr>
              <w:t>责令限期整改</w:t>
            </w:r>
          </w:p>
        </w:tc>
        <w:tc>
          <w:tcPr>
            <w:tcW w:w="1328" w:type="dxa"/>
            <w:shd w:val="clear" w:color="auto" w:fill="auto"/>
            <w:vAlign w:val="center"/>
          </w:tcPr>
          <w:p w14:paraId="48E5FE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kern w:val="2"/>
                <w:sz w:val="24"/>
                <w:szCs w:val="24"/>
                <w:lang w:val="en-US" w:eastAsia="zh-CN" w:bidi="ar-SA"/>
              </w:rPr>
              <w:t>2026.6.10</w:t>
            </w:r>
          </w:p>
        </w:tc>
      </w:tr>
      <w:tr w14:paraId="0BCD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97E3A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5</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44FD1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335E7E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行政检查</w:t>
            </w:r>
          </w:p>
        </w:tc>
        <w:tc>
          <w:tcPr>
            <w:tcW w:w="1517" w:type="dxa"/>
            <w:shd w:val="clear" w:color="auto" w:fill="auto"/>
            <w:vAlign w:val="center"/>
          </w:tcPr>
          <w:p w14:paraId="1F0403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（鲁淄高）应急检记〔2026〕133号</w:t>
            </w:r>
          </w:p>
        </w:tc>
        <w:tc>
          <w:tcPr>
            <w:tcW w:w="1193" w:type="dxa"/>
            <w:shd w:val="clear" w:color="auto" w:fill="auto"/>
            <w:tcMar>
              <w:top w:w="0" w:type="dxa"/>
              <w:left w:w="0" w:type="dxa"/>
              <w:bottom w:w="0" w:type="dxa"/>
              <w:right w:w="0" w:type="dxa"/>
            </w:tcMar>
            <w:vAlign w:val="center"/>
          </w:tcPr>
          <w:p w14:paraId="4FF668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山东齐氟新材料有限公司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9FF10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安全生产检查</w:t>
            </w:r>
          </w:p>
        </w:tc>
        <w:tc>
          <w:tcPr>
            <w:tcW w:w="5439" w:type="dxa"/>
            <w:shd w:val="clear" w:color="auto" w:fill="auto"/>
            <w:vAlign w:val="center"/>
          </w:tcPr>
          <w:p w14:paraId="2675BC5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1、5.20外来施工人员入场交底被交底单位未填写。</w:t>
            </w:r>
          </w:p>
          <w:p w14:paraId="4F63F4FF">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2、劳保发放记录未标明发放月份。</w:t>
            </w:r>
          </w:p>
          <w:p w14:paraId="079E5F75">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3、化验室试剂存放橱内最下层缺少防流散措施。</w:t>
            </w:r>
          </w:p>
          <w:p w14:paraId="326AE0CA">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4、公用工程车间配电箱防火封堵缺失。</w:t>
            </w:r>
          </w:p>
          <w:p w14:paraId="0F460257">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5、聚合车间三层聚合反应釜R5101泄放管路旁路爆破片上方法兰螺栓缺失。</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F9CF8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D5CC3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责令限期整改</w:t>
            </w:r>
          </w:p>
        </w:tc>
        <w:tc>
          <w:tcPr>
            <w:tcW w:w="1328" w:type="dxa"/>
            <w:shd w:val="clear" w:color="auto" w:fill="auto"/>
            <w:vAlign w:val="center"/>
          </w:tcPr>
          <w:p w14:paraId="33125D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2026.6.18</w:t>
            </w:r>
          </w:p>
        </w:tc>
      </w:tr>
      <w:tr w14:paraId="0EC9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D582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6</w:t>
            </w:r>
          </w:p>
        </w:tc>
        <w:tc>
          <w:tcPr>
            <w:tcW w:w="1073" w:type="dxa"/>
            <w:shd w:val="clear" w:color="auto" w:fill="auto"/>
            <w:tcMar>
              <w:top w:w="0" w:type="dxa"/>
              <w:left w:w="0" w:type="dxa"/>
              <w:bottom w:w="0" w:type="dxa"/>
              <w:right w:w="0" w:type="dxa"/>
            </w:tcMar>
            <w:vAlign w:val="center"/>
          </w:tcPr>
          <w:p w14:paraId="61B1EB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686" w:type="dxa"/>
            <w:shd w:val="clear" w:color="auto" w:fill="auto"/>
            <w:tcMar>
              <w:top w:w="0" w:type="dxa"/>
              <w:left w:w="0" w:type="dxa"/>
              <w:bottom w:w="0" w:type="dxa"/>
              <w:right w:w="0" w:type="dxa"/>
            </w:tcMar>
            <w:vAlign w:val="center"/>
          </w:tcPr>
          <w:p w14:paraId="2703A3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1517" w:type="dxa"/>
            <w:shd w:val="clear" w:color="auto" w:fill="auto"/>
            <w:tcMar>
              <w:top w:w="0" w:type="dxa"/>
              <w:left w:w="0" w:type="dxa"/>
              <w:bottom w:w="0" w:type="dxa"/>
              <w:right w:w="0" w:type="dxa"/>
            </w:tcMar>
            <w:vAlign w:val="center"/>
          </w:tcPr>
          <w:p w14:paraId="30C7FE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114</w:t>
            </w:r>
            <w:r>
              <w:rPr>
                <w:rFonts w:hint="eastAsia" w:ascii="仿宋" w:hAnsi="仿宋" w:eastAsia="仿宋" w:cs="仿宋"/>
                <w:color w:val="auto"/>
                <w:sz w:val="24"/>
                <w:szCs w:val="24"/>
              </w:rPr>
              <w:t>号</w:t>
            </w:r>
          </w:p>
        </w:tc>
        <w:tc>
          <w:tcPr>
            <w:tcW w:w="1193" w:type="dxa"/>
            <w:shd w:val="clear" w:color="auto" w:fill="auto"/>
            <w:tcMar>
              <w:top w:w="0" w:type="dxa"/>
              <w:left w:w="0" w:type="dxa"/>
              <w:bottom w:w="0" w:type="dxa"/>
              <w:right w:w="0" w:type="dxa"/>
            </w:tcMar>
            <w:vAlign w:val="center"/>
          </w:tcPr>
          <w:p w14:paraId="07C307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山东中泰天盟新材料有限公司</w:t>
            </w:r>
          </w:p>
        </w:tc>
        <w:tc>
          <w:tcPr>
            <w:tcW w:w="541" w:type="dxa"/>
            <w:shd w:val="clear" w:color="auto" w:fill="auto"/>
            <w:tcMar>
              <w:top w:w="0" w:type="dxa"/>
              <w:left w:w="0" w:type="dxa"/>
              <w:bottom w:w="0" w:type="dxa"/>
              <w:right w:w="0" w:type="dxa"/>
            </w:tcMar>
            <w:vAlign w:val="center"/>
          </w:tcPr>
          <w:p w14:paraId="422098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5439" w:type="dxa"/>
            <w:shd w:val="clear" w:color="auto" w:fill="auto"/>
            <w:vAlign w:val="center"/>
          </w:tcPr>
          <w:p w14:paraId="2377E4F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1、戊类仓库西侧、东侧货物贴墙存放。</w:t>
            </w:r>
          </w:p>
          <w:p w14:paraId="3B2061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2、戊类仓库、混配车间使用行吊，现场未张贴行吊操作规程。</w:t>
            </w:r>
          </w:p>
          <w:p w14:paraId="65CC40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3、戊类仓库南门叉车充电处配电箱未安装箱门与箱体静电跨接线。</w:t>
            </w:r>
          </w:p>
          <w:p w14:paraId="58C151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4、戊类仓库南门叉车充电处配电箱内电源开关未标明用途。</w:t>
            </w:r>
          </w:p>
          <w:p w14:paraId="3EFA77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5、生产经营单位生产安全事故应急预案备案申请表中缺少单位公章和日期。</w:t>
            </w:r>
          </w:p>
          <w:p w14:paraId="1351C2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6、装卸区R22中继器接地螺栓生锈。</w:t>
            </w:r>
          </w:p>
        </w:tc>
        <w:tc>
          <w:tcPr>
            <w:tcW w:w="1088" w:type="dxa"/>
            <w:shd w:val="clear" w:color="auto" w:fill="auto"/>
            <w:tcMar>
              <w:top w:w="0" w:type="dxa"/>
              <w:left w:w="0" w:type="dxa"/>
              <w:bottom w:w="0" w:type="dxa"/>
              <w:right w:w="0" w:type="dxa"/>
            </w:tcMar>
            <w:vAlign w:val="center"/>
          </w:tcPr>
          <w:p w14:paraId="26629E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686" w:type="dxa"/>
            <w:shd w:val="clear" w:color="auto" w:fill="auto"/>
            <w:tcMar>
              <w:top w:w="0" w:type="dxa"/>
              <w:left w:w="0" w:type="dxa"/>
              <w:bottom w:w="0" w:type="dxa"/>
              <w:right w:w="0" w:type="dxa"/>
            </w:tcMar>
            <w:vAlign w:val="center"/>
          </w:tcPr>
          <w:p w14:paraId="60AFBB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1328" w:type="dxa"/>
            <w:shd w:val="clear" w:color="auto" w:fill="auto"/>
            <w:vAlign w:val="center"/>
          </w:tcPr>
          <w:p w14:paraId="7B67F9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3</w:t>
            </w:r>
          </w:p>
        </w:tc>
      </w:tr>
      <w:tr w14:paraId="3384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15" w:type="dxa"/>
          <w:jc w:val="center"/>
        </w:trPr>
        <w:tc>
          <w:tcPr>
            <w:tcW w:w="0" w:type="auto"/>
            <w:shd w:val="clear" w:color="auto" w:fill="auto"/>
            <w:vAlign w:val="center"/>
          </w:tcPr>
          <w:p w14:paraId="1341E1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7</w:t>
            </w:r>
          </w:p>
        </w:tc>
        <w:tc>
          <w:tcPr>
            <w:tcW w:w="0" w:type="auto"/>
            <w:shd w:val="clear" w:color="auto" w:fill="auto"/>
            <w:tcMar>
              <w:top w:w="0" w:type="dxa"/>
              <w:left w:w="0" w:type="dxa"/>
              <w:bottom w:w="0" w:type="dxa"/>
              <w:right w:w="0" w:type="dxa"/>
            </w:tcMar>
            <w:vAlign w:val="center"/>
          </w:tcPr>
          <w:p w14:paraId="5B400E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0" w:type="auto"/>
            <w:shd w:val="clear" w:color="auto" w:fill="auto"/>
            <w:tcMar>
              <w:top w:w="0" w:type="dxa"/>
              <w:left w:w="0" w:type="dxa"/>
              <w:bottom w:w="0" w:type="dxa"/>
              <w:right w:w="0" w:type="dxa"/>
            </w:tcMar>
            <w:vAlign w:val="center"/>
          </w:tcPr>
          <w:p w14:paraId="7F4F7C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0" w:type="auto"/>
            <w:shd w:val="clear" w:color="auto" w:fill="auto"/>
            <w:tcMar>
              <w:top w:w="0" w:type="dxa"/>
              <w:left w:w="0" w:type="dxa"/>
              <w:bottom w:w="0" w:type="dxa"/>
              <w:right w:w="0" w:type="dxa"/>
            </w:tcMar>
            <w:vAlign w:val="center"/>
          </w:tcPr>
          <w:p w14:paraId="15733E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127</w:t>
            </w:r>
            <w:r>
              <w:rPr>
                <w:rFonts w:hint="eastAsia" w:ascii="仿宋" w:hAnsi="仿宋" w:eastAsia="仿宋" w:cs="仿宋"/>
                <w:color w:val="auto"/>
                <w:sz w:val="24"/>
                <w:szCs w:val="24"/>
              </w:rPr>
              <w:t>号</w:t>
            </w:r>
          </w:p>
        </w:tc>
        <w:tc>
          <w:tcPr>
            <w:tcW w:w="0" w:type="auto"/>
            <w:shd w:val="clear" w:color="auto" w:fill="auto"/>
            <w:tcMar>
              <w:top w:w="0" w:type="dxa"/>
              <w:left w:w="0" w:type="dxa"/>
              <w:bottom w:w="0" w:type="dxa"/>
              <w:right w:w="0" w:type="dxa"/>
            </w:tcMar>
            <w:vAlign w:val="center"/>
          </w:tcPr>
          <w:p w14:paraId="6C3578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山东隆华新材料股份有限公司</w:t>
            </w:r>
          </w:p>
        </w:tc>
        <w:tc>
          <w:tcPr>
            <w:tcW w:w="0" w:type="auto"/>
            <w:shd w:val="clear" w:color="auto" w:fill="auto"/>
            <w:tcMar>
              <w:top w:w="0" w:type="dxa"/>
              <w:left w:w="0" w:type="dxa"/>
              <w:bottom w:w="0" w:type="dxa"/>
              <w:right w:w="0" w:type="dxa"/>
            </w:tcMar>
            <w:vAlign w:val="center"/>
          </w:tcPr>
          <w:p w14:paraId="067547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0" w:type="auto"/>
            <w:shd w:val="clear" w:color="auto" w:fill="auto"/>
            <w:vAlign w:val="center"/>
          </w:tcPr>
          <w:p w14:paraId="67F8B96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1、端氨基装置二楼氮气管路未设置双阀或加盲板。</w:t>
            </w:r>
          </w:p>
          <w:p w14:paraId="0F54D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2、端氨基装置现场设置不锈钢临时管路，未履行变更手续。</w:t>
            </w:r>
          </w:p>
          <w:p w14:paraId="68B472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3、端氨基装置现场东侧检查井无防坠落措施。</w:t>
            </w:r>
          </w:p>
          <w:p w14:paraId="2AABA1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4、五车间R6011釜顶部安全阀铭牌信息磨损。</w:t>
            </w:r>
          </w:p>
          <w:p w14:paraId="01EB66B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5、端氨基配电室与夹层电缆孔洞未防火封堵。</w:t>
            </w:r>
          </w:p>
        </w:tc>
        <w:tc>
          <w:tcPr>
            <w:tcW w:w="0" w:type="auto"/>
            <w:shd w:val="clear" w:color="auto" w:fill="auto"/>
            <w:tcMar>
              <w:top w:w="0" w:type="dxa"/>
              <w:left w:w="0" w:type="dxa"/>
              <w:bottom w:w="0" w:type="dxa"/>
              <w:right w:w="0" w:type="dxa"/>
            </w:tcMar>
            <w:vAlign w:val="center"/>
          </w:tcPr>
          <w:p w14:paraId="49A165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0" w:type="auto"/>
            <w:shd w:val="clear" w:color="auto" w:fill="auto"/>
            <w:tcMar>
              <w:top w:w="0" w:type="dxa"/>
              <w:left w:w="0" w:type="dxa"/>
              <w:bottom w:w="0" w:type="dxa"/>
              <w:right w:w="0" w:type="dxa"/>
            </w:tcMar>
            <w:vAlign w:val="center"/>
          </w:tcPr>
          <w:p w14:paraId="5C4742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0" w:type="auto"/>
            <w:shd w:val="clear" w:color="auto" w:fill="auto"/>
            <w:vAlign w:val="center"/>
          </w:tcPr>
          <w:p w14:paraId="163986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17</w:t>
            </w:r>
          </w:p>
        </w:tc>
      </w:tr>
      <w:tr w14:paraId="3D36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0" w:type="auto"/>
            <w:shd w:val="clear" w:color="auto" w:fill="auto"/>
            <w:vAlign w:val="center"/>
          </w:tcPr>
          <w:p w14:paraId="2AC363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8</w:t>
            </w:r>
          </w:p>
        </w:tc>
        <w:tc>
          <w:tcPr>
            <w:tcW w:w="0" w:type="auto"/>
            <w:shd w:val="clear" w:color="auto" w:fill="auto"/>
            <w:tcMar>
              <w:top w:w="0" w:type="dxa"/>
              <w:left w:w="0" w:type="dxa"/>
              <w:bottom w:w="0" w:type="dxa"/>
              <w:right w:w="0" w:type="dxa"/>
            </w:tcMar>
            <w:vAlign w:val="center"/>
          </w:tcPr>
          <w:p w14:paraId="20E117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0" w:type="auto"/>
            <w:shd w:val="clear" w:color="auto" w:fill="auto"/>
            <w:tcMar>
              <w:top w:w="0" w:type="dxa"/>
              <w:left w:w="0" w:type="dxa"/>
              <w:bottom w:w="0" w:type="dxa"/>
              <w:right w:w="0" w:type="dxa"/>
            </w:tcMar>
            <w:vAlign w:val="center"/>
          </w:tcPr>
          <w:p w14:paraId="1D606E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0" w:type="auto"/>
            <w:shd w:val="clear" w:color="auto" w:fill="auto"/>
            <w:tcMar>
              <w:top w:w="0" w:type="dxa"/>
              <w:left w:w="0" w:type="dxa"/>
              <w:bottom w:w="0" w:type="dxa"/>
              <w:right w:w="0" w:type="dxa"/>
            </w:tcMar>
            <w:vAlign w:val="center"/>
          </w:tcPr>
          <w:p w14:paraId="2E3C4E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126</w:t>
            </w:r>
            <w:r>
              <w:rPr>
                <w:rFonts w:hint="eastAsia" w:ascii="仿宋" w:hAnsi="仿宋" w:eastAsia="仿宋" w:cs="仿宋"/>
                <w:color w:val="auto"/>
                <w:sz w:val="24"/>
                <w:szCs w:val="24"/>
              </w:rPr>
              <w:t>号</w:t>
            </w:r>
          </w:p>
        </w:tc>
        <w:tc>
          <w:tcPr>
            <w:tcW w:w="0" w:type="auto"/>
            <w:shd w:val="clear" w:color="auto" w:fill="auto"/>
            <w:tcMar>
              <w:top w:w="0" w:type="dxa"/>
              <w:left w:w="0" w:type="dxa"/>
              <w:bottom w:w="0" w:type="dxa"/>
              <w:right w:w="0" w:type="dxa"/>
            </w:tcMar>
            <w:vAlign w:val="center"/>
          </w:tcPr>
          <w:p w14:paraId="70F7E8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山东中福赫达新材料科技有限公司</w:t>
            </w:r>
          </w:p>
        </w:tc>
        <w:tc>
          <w:tcPr>
            <w:tcW w:w="0" w:type="auto"/>
            <w:shd w:val="clear" w:color="auto" w:fill="auto"/>
            <w:tcMar>
              <w:top w:w="0" w:type="dxa"/>
              <w:left w:w="0" w:type="dxa"/>
              <w:bottom w:w="0" w:type="dxa"/>
              <w:right w:w="0" w:type="dxa"/>
            </w:tcMar>
            <w:vAlign w:val="center"/>
          </w:tcPr>
          <w:p w14:paraId="1F14609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0" w:type="auto"/>
            <w:shd w:val="clear" w:color="auto" w:fill="auto"/>
            <w:vAlign w:val="center"/>
          </w:tcPr>
          <w:p w14:paraId="6FD83F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1、硝酸钠仓库（甲类）窗户未设置锁闭措施。</w:t>
            </w:r>
          </w:p>
          <w:p w14:paraId="02F7F81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2、2#车间楼层内多处未关闭。</w:t>
            </w:r>
          </w:p>
          <w:p w14:paraId="678AAF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3、控制室内操作规程与工艺卡片中小料仓重量报警值不一致。</w:t>
            </w:r>
          </w:p>
          <w:p w14:paraId="10A18F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4、安全生产规章制度编制依据过期。</w:t>
            </w:r>
          </w:p>
        </w:tc>
        <w:tc>
          <w:tcPr>
            <w:tcW w:w="0" w:type="auto"/>
            <w:shd w:val="clear" w:color="auto" w:fill="auto"/>
            <w:tcMar>
              <w:top w:w="0" w:type="dxa"/>
              <w:left w:w="0" w:type="dxa"/>
              <w:bottom w:w="0" w:type="dxa"/>
              <w:right w:w="0" w:type="dxa"/>
            </w:tcMar>
            <w:vAlign w:val="center"/>
          </w:tcPr>
          <w:p w14:paraId="2CF09A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0" w:type="auto"/>
            <w:shd w:val="clear" w:color="auto" w:fill="auto"/>
            <w:tcMar>
              <w:top w:w="0" w:type="dxa"/>
              <w:left w:w="0" w:type="dxa"/>
              <w:bottom w:w="0" w:type="dxa"/>
              <w:right w:w="0" w:type="dxa"/>
            </w:tcMar>
            <w:vAlign w:val="center"/>
          </w:tcPr>
          <w:p w14:paraId="54124E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0" w:type="auto"/>
            <w:shd w:val="clear" w:color="auto" w:fill="auto"/>
            <w:vAlign w:val="center"/>
          </w:tcPr>
          <w:p w14:paraId="3877816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w:t>
            </w:r>
            <w:bookmarkStart w:id="0" w:name="_GoBack"/>
            <w:bookmarkEnd w:id="0"/>
            <w:r>
              <w:rPr>
                <w:rFonts w:hint="eastAsia" w:ascii="仿宋" w:hAnsi="仿宋" w:eastAsia="仿宋" w:cs="仿宋"/>
                <w:color w:val="auto"/>
                <w:sz w:val="24"/>
                <w:szCs w:val="24"/>
                <w:lang w:eastAsia="zh-CN"/>
              </w:rPr>
              <w:t>26.6.</w:t>
            </w:r>
            <w:r>
              <w:rPr>
                <w:rFonts w:hint="eastAsia" w:ascii="仿宋" w:hAnsi="仿宋" w:eastAsia="仿宋" w:cs="仿宋"/>
                <w:color w:val="auto"/>
                <w:sz w:val="24"/>
                <w:szCs w:val="24"/>
                <w:lang w:val="en-US" w:eastAsia="zh-CN"/>
              </w:rPr>
              <w:t>18</w:t>
            </w:r>
          </w:p>
        </w:tc>
      </w:tr>
    </w:tbl>
    <w:p w14:paraId="767A92A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C22F0"/>
    <w:rsid w:val="014A1C78"/>
    <w:rsid w:val="02E55207"/>
    <w:rsid w:val="039E740C"/>
    <w:rsid w:val="0878647D"/>
    <w:rsid w:val="097B41D2"/>
    <w:rsid w:val="0B21717B"/>
    <w:rsid w:val="0CD43E9E"/>
    <w:rsid w:val="0F8C0A60"/>
    <w:rsid w:val="0FFA3C1C"/>
    <w:rsid w:val="114A6C3A"/>
    <w:rsid w:val="17CE7E68"/>
    <w:rsid w:val="19704F4F"/>
    <w:rsid w:val="218E68BA"/>
    <w:rsid w:val="2295169F"/>
    <w:rsid w:val="242C6486"/>
    <w:rsid w:val="276C22F0"/>
    <w:rsid w:val="2B936FA7"/>
    <w:rsid w:val="32B902BB"/>
    <w:rsid w:val="379A443E"/>
    <w:rsid w:val="384050D9"/>
    <w:rsid w:val="43170066"/>
    <w:rsid w:val="44FF69A8"/>
    <w:rsid w:val="4585575A"/>
    <w:rsid w:val="480A6E60"/>
    <w:rsid w:val="49413E03"/>
    <w:rsid w:val="4D671BE9"/>
    <w:rsid w:val="4F6C34E7"/>
    <w:rsid w:val="4FE614EB"/>
    <w:rsid w:val="503C1135"/>
    <w:rsid w:val="543C0228"/>
    <w:rsid w:val="55BD53BD"/>
    <w:rsid w:val="561A5A4B"/>
    <w:rsid w:val="564C5E20"/>
    <w:rsid w:val="584274DB"/>
    <w:rsid w:val="5C981DBF"/>
    <w:rsid w:val="5CBD4863"/>
    <w:rsid w:val="5DED0DD1"/>
    <w:rsid w:val="60226927"/>
    <w:rsid w:val="606D354B"/>
    <w:rsid w:val="64195594"/>
    <w:rsid w:val="6B7C21EC"/>
    <w:rsid w:val="71D56084"/>
    <w:rsid w:val="75C5557C"/>
    <w:rsid w:val="78E25133"/>
    <w:rsid w:val="7BC477C2"/>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Body Text Indent"/>
    <w:basedOn w:val="1"/>
    <w:next w:val="2"/>
    <w:link w:val="9"/>
    <w:qFormat/>
    <w:uiPriority w:val="0"/>
    <w:pPr>
      <w:spacing w:after="120" w:afterLines="0" w:afterAutospacing="0"/>
      <w:ind w:left="420" w:leftChars="200"/>
    </w:pPr>
  </w:style>
  <w:style w:type="paragraph" w:styleId="4">
    <w:name w:val="Normal (Web)"/>
    <w:basedOn w:val="1"/>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paragraph" w:styleId="5">
    <w:name w:val="Body Text First Indent 2"/>
    <w:basedOn w:val="3"/>
    <w:unhideWhenUsed/>
    <w:qFormat/>
    <w:uiPriority w:val="99"/>
    <w:pPr>
      <w:ind w:firstLine="420" w:firstLineChars="200"/>
    </w:pPr>
  </w:style>
  <w:style w:type="character" w:customStyle="1" w:styleId="8">
    <w:name w:val="正文文本首行缩进 2 字符"/>
    <w:basedOn w:val="9"/>
    <w:qFormat/>
    <w:uiPriority w:val="0"/>
    <w:rPr>
      <w:rFonts w:hint="default" w:ascii="Calibri" w:hAnsi="Calibri" w:cs="Calibri"/>
      <w:kern w:val="2"/>
      <w:sz w:val="21"/>
      <w:szCs w:val="24"/>
    </w:rPr>
  </w:style>
  <w:style w:type="character" w:customStyle="1" w:styleId="9">
    <w:name w:val="正文文本缩进 字符"/>
    <w:basedOn w:val="7"/>
    <w:link w:val="3"/>
    <w:qFormat/>
    <w:uiPriority w:val="0"/>
    <w:rPr>
      <w:rFonts w:hint="default" w:ascii="Calibri" w:hAnsi="Calibri" w:cs="Calibri"/>
      <w:kern w:val="2"/>
      <w:sz w:val="21"/>
      <w:szCs w:val="24"/>
    </w:rPr>
  </w:style>
  <w:style w:type="character" w:customStyle="1" w:styleId="10">
    <w:name w:val="正文首行缩进 2 Char"/>
    <w:basedOn w:val="7"/>
    <w:qFormat/>
    <w:uiPriority w:val="0"/>
    <w:rPr>
      <w:rFonts w:hint="default" w:ascii="Calibri" w:hAnsi="Calibri" w:cs="Calibri"/>
      <w:kern w:val="2"/>
      <w:sz w:val="21"/>
      <w:szCs w:val="24"/>
    </w:rPr>
  </w:style>
  <w:style w:type="character" w:customStyle="1" w:styleId="11">
    <w:name w:val="font11"/>
    <w:basedOn w:val="7"/>
    <w:qFormat/>
    <w:uiPriority w:val="0"/>
    <w:rPr>
      <w:rFonts w:hint="eastAsia" w:ascii="仿宋" w:hAnsi="仿宋" w:eastAsia="仿宋" w:cs="仿宋"/>
      <w:color w:val="000000"/>
      <w:sz w:val="30"/>
      <w:szCs w:val="3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4358</Words>
  <Characters>4781</Characters>
  <Lines>0</Lines>
  <Paragraphs>0</Paragraphs>
  <TotalTime>4</TotalTime>
  <ScaleCrop>false</ScaleCrop>
  <LinksUpToDate>false</LinksUpToDate>
  <CharactersWithSpaces>4786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2024-12-30T01:38:00Z</dcterms:created>
  <dc:creator>Administrator</dc:creator>
  <cp:lastModifiedBy>灯火阑珊</cp:lastModifiedBy>
  <dcterms:modified xsi:type="dcterms:W3CDTF">2026-07-02T07:23:29Z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5C4B4BC46D5E481D802F80FE3115D92B_11</vt:lpwstr>
  </property>
  <property fmtid="{D5CDD505-2E9C-101B-9397-08002B2CF9AE}" pid="4" name="KSOTemplateDocerSaveRecord">
    <vt:lpwstr>eyJoZGlkIjoiZmY2MjE5MTk3ZjcxZTMyZTBiOWQzZTlmMDY3YWI3ZmIiLCJ1c2VySWQiOiI3NDk0NzQ5MzEifQ==</vt:lpwstr>
  </property>
</Properties>
</file>