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18FF">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淄博市医疗保障局高青分局</w:t>
      </w:r>
    </w:p>
    <w:p w14:paraId="2BE8A920">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6B0AACB1">
      <w:pPr>
        <w:spacing w:line="600" w:lineRule="exact"/>
        <w:ind w:firstLine="0"/>
        <w:jc w:val="center"/>
        <w:rPr>
          <w:rFonts w:ascii="方正小标宋简体" w:hAnsi="方正小标宋简体" w:eastAsia="方正小标宋简体" w:cs="方正小标宋简体"/>
          <w:sz w:val="44"/>
          <w:szCs w:val="44"/>
        </w:rPr>
      </w:pPr>
    </w:p>
    <w:p w14:paraId="400C0F03">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061E30A0">
      <w:pPr>
        <w:spacing w:line="560" w:lineRule="exact"/>
        <w:ind w:firstLine="640" w:firstLineChars="200"/>
        <w:rPr>
          <w:rFonts w:ascii="仿宋_GB2312" w:hAnsi="黑体" w:eastAsia="仿宋_GB2312"/>
        </w:rPr>
      </w:pPr>
      <w:r>
        <w:rPr>
          <w:rFonts w:hint="eastAsia" w:ascii="仿宋_GB2312" w:eastAsia="仿宋_GB2312"/>
        </w:rPr>
        <w:t>报告中所列数据统计期限自2025年1月1日始，至2025年12月31日止。报告电子版可在高青县人民政府门户网站（www.gaoqing.gov.cn）查阅和下载。如对报告内容有疑问，请与淄博市医疗保障局高青分局办公室联系（地址：山东省淄博市高青县清河路9号；邮编：256300；电话：0533-6968175；传真：0533-6968175；邮箱：</w:t>
      </w:r>
      <w:r>
        <w:rPr>
          <w:rFonts w:eastAsia="仿宋_GB2312"/>
        </w:rPr>
        <w:t>sylbzjgqfj@zb.shandong.cn</w:t>
      </w:r>
      <w:r>
        <w:rPr>
          <w:rFonts w:hint="eastAsia" w:ascii="仿宋_GB2312" w:eastAsia="仿宋_GB2312"/>
        </w:rPr>
        <w:t>）。</w:t>
      </w:r>
    </w:p>
    <w:p w14:paraId="6394CCDF">
      <w:pPr>
        <w:spacing w:line="560" w:lineRule="exact"/>
        <w:ind w:firstLine="640" w:firstLineChars="200"/>
        <w:rPr>
          <w:rFonts w:ascii="黑体" w:hAnsi="黑体" w:eastAsia="黑体"/>
          <w:szCs w:val="32"/>
        </w:rPr>
      </w:pPr>
      <w:r>
        <w:rPr>
          <w:rFonts w:hint="eastAsia" w:ascii="黑体" w:hAnsi="黑体" w:eastAsia="黑体"/>
          <w:szCs w:val="32"/>
        </w:rPr>
        <w:t>一、总体情况</w:t>
      </w:r>
    </w:p>
    <w:p w14:paraId="325DA2B4">
      <w:pPr>
        <w:spacing w:line="56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5年，</w:t>
      </w:r>
      <w:r>
        <w:rPr>
          <w:rFonts w:hint="eastAsia" w:ascii="仿宋_GB2312" w:eastAsia="仿宋_GB2312"/>
        </w:rPr>
        <w:t>淄博市医疗保障局高青分局</w:t>
      </w:r>
      <w:r>
        <w:rPr>
          <w:rFonts w:hint="eastAsia" w:ascii="仿宋_GB2312" w:eastAsia="仿宋_GB2312"/>
          <w:szCs w:val="32"/>
        </w:rPr>
        <w:t>坚持以习近平新时代中国特色社会主义思想为指导，认真落实国家和省市县政务公开工作部署，紧扣医保核心职能与群众急难愁盼，以“公开透明、便民高效、规范有序”为原则，持续深化政务公开与医保服务深度融合，推动政务公开工作提质增效、走深走实。</w:t>
      </w:r>
    </w:p>
    <w:p w14:paraId="6ED4EE03">
      <w:pPr>
        <w:spacing w:line="560" w:lineRule="exact"/>
        <w:jc w:val="left"/>
        <w:rPr>
          <w:rFonts w:ascii="楷体_GB2312" w:eastAsia="楷体_GB2312"/>
        </w:rPr>
      </w:pPr>
      <w:r>
        <w:rPr>
          <w:rFonts w:hint="eastAsia" w:ascii="楷体_GB2312" w:eastAsia="楷体_GB2312"/>
        </w:rPr>
        <w:t>（一）主动公开</w:t>
      </w:r>
    </w:p>
    <w:p w14:paraId="1E9AA4B3">
      <w:pPr>
        <w:spacing w:line="560" w:lineRule="exact"/>
        <w:rPr>
          <w:rFonts w:hint="eastAsia" w:eastAsia="仿宋_GB2312"/>
          <w:szCs w:val="32"/>
        </w:rPr>
      </w:pPr>
      <w:r>
        <w:rPr>
          <w:rFonts w:hint="eastAsia" w:ascii="仿宋_GB2312" w:eastAsia="仿宋_GB2312"/>
        </w:rPr>
        <w:t>结合医保工作实际，制定《淄博市医疗保障局高青分局2025年政务公开工作实施方案》，细化主动公开目录、依申请公开办理流程、政策解读等6项工作</w:t>
      </w:r>
      <w:r>
        <w:rPr>
          <w:rFonts w:hint="eastAsia" w:ascii="仿宋_GB2312" w:eastAsia="仿宋_GB2312"/>
          <w:lang w:eastAsia="zh-CN"/>
        </w:rPr>
        <w:t>标准</w:t>
      </w:r>
      <w:r>
        <w:rPr>
          <w:rFonts w:hint="eastAsia" w:ascii="仿宋_GB2312" w:eastAsia="仿宋_GB2312"/>
        </w:rPr>
        <w:t>，确保政务公开工作</w:t>
      </w:r>
      <w:bookmarkStart w:id="0" w:name="_GoBack"/>
      <w:bookmarkEnd w:id="0"/>
      <w:r>
        <w:rPr>
          <w:rFonts w:hint="eastAsia" w:ascii="仿宋_GB2312" w:eastAsia="仿宋_GB2312"/>
        </w:rPr>
        <w:t>有据可依。围绕机构职能、政策文件、公示公告、部门会议、建议提案办理、医疗救助、医疗保险、行政执法公示等群众关切和医保核心业务，实现信息公开全覆盖。2025年通过</w:t>
      </w:r>
      <w:r>
        <w:rPr>
          <w:rFonts w:eastAsia="仿宋_GB2312"/>
          <w:szCs w:val="32"/>
        </w:rPr>
        <w:t>政府网站公开政府信息</w:t>
      </w:r>
      <w:r>
        <w:rPr>
          <w:rFonts w:hint="eastAsia" w:eastAsia="仿宋_GB2312"/>
          <w:szCs w:val="32"/>
        </w:rPr>
        <w:t>57条，较上年略有减少，其中，公开重要部署执行信息7条、建议提案办理信息4条、行政执法公示信息8条、医疗救助领域信息11条、医疗保险领域信息12条、政府会议信息4条、其他领域信息11条。2025年共受理12345政务服务便民热线转办事项254件，办结率100%，满意率95.7%。开展“政府开放日”活动，成立医保基金社会监督员队伍，邀请群众代表、人大代表、政协委员等14人走进医保经办大厅，实地了解医保业务办理流程、基金监管工作开展情况，收集意见建议4条。</w:t>
      </w:r>
    </w:p>
    <w:p w14:paraId="2CBF5CA6">
      <w:pPr>
        <w:spacing w:line="560" w:lineRule="exact"/>
        <w:rPr>
          <w:rFonts w:hint="eastAsia" w:eastAsia="仿宋_GB2312"/>
          <w:szCs w:val="32"/>
        </w:rPr>
      </w:pPr>
      <w:r>
        <w:drawing>
          <wp:anchor distT="0" distB="0" distL="114300" distR="114300" simplePos="0" relativeHeight="251659264" behindDoc="0" locked="0" layoutInCell="1" allowOverlap="1">
            <wp:simplePos x="0" y="0"/>
            <wp:positionH relativeFrom="column">
              <wp:posOffset>546100</wp:posOffset>
            </wp:positionH>
            <wp:positionV relativeFrom="paragraph">
              <wp:posOffset>-4787265</wp:posOffset>
            </wp:positionV>
            <wp:extent cx="4572000" cy="2743200"/>
            <wp:effectExtent l="4445" t="4445" r="1460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748833B">
      <w:pPr>
        <w:spacing w:line="560" w:lineRule="exact"/>
        <w:jc w:val="left"/>
        <w:rPr>
          <w:rFonts w:ascii="楷体_GB2312" w:eastAsia="楷体_GB2312"/>
        </w:rPr>
      </w:pPr>
      <w:r>
        <w:rPr>
          <w:rFonts w:hint="eastAsia" w:ascii="楷体_GB2312" w:eastAsia="楷体_GB2312"/>
        </w:rPr>
        <w:t>（二）依申请公开</w:t>
      </w:r>
    </w:p>
    <w:p w14:paraId="2CDC5332">
      <w:pPr>
        <w:spacing w:line="560" w:lineRule="exact"/>
        <w:jc w:val="left"/>
        <w:rPr>
          <w:rFonts w:ascii="仿宋_GB2312" w:eastAsia="仿宋_GB2312"/>
          <w:szCs w:val="32"/>
        </w:rPr>
      </w:pPr>
      <w:r>
        <w:rPr>
          <w:rFonts w:hint="eastAsia" w:ascii="仿宋_GB2312" w:eastAsia="仿宋_GB2312"/>
          <w:szCs w:val="32"/>
        </w:rPr>
        <w:t>2025年共收到政府信息公开申请1件，比上年度增加1件，申请内容主要涉及医疗保险领域。作出政府信息公开申请答复1件，其中予以公开1件。依申请公开政府信息未收取任何费用。未因政府信息公开被申请行政复议、提起行政诉讼。</w:t>
      </w:r>
    </w:p>
    <w:p w14:paraId="11C34BA2">
      <w:pPr>
        <w:numPr>
          <w:ilvl w:val="0"/>
          <w:numId w:val="1"/>
        </w:numPr>
        <w:spacing w:line="560" w:lineRule="exact"/>
        <w:jc w:val="left"/>
        <w:rPr>
          <w:rFonts w:ascii="楷体_GB2312" w:eastAsia="楷体_GB2312"/>
        </w:rPr>
      </w:pPr>
      <w:r>
        <w:rPr>
          <w:rFonts w:hint="eastAsia" w:ascii="楷体_GB2312" w:eastAsia="楷体_GB2312"/>
        </w:rPr>
        <w:t>政府信息管理</w:t>
      </w:r>
    </w:p>
    <w:p w14:paraId="0603E363">
      <w:pPr>
        <w:spacing w:line="560" w:lineRule="exact"/>
        <w:jc w:val="left"/>
        <w:rPr>
          <w:rFonts w:ascii="仿宋_GB2312" w:eastAsia="仿宋_GB2312"/>
          <w:szCs w:val="32"/>
        </w:rPr>
      </w:pPr>
      <w:r>
        <w:rPr>
          <w:rFonts w:hint="eastAsia" w:ascii="仿宋_GB2312" w:eastAsia="仿宋_GB2312"/>
          <w:szCs w:val="32"/>
        </w:rPr>
        <w:t>严格落实信息发布</w:t>
      </w:r>
      <w:r>
        <w:rPr>
          <w:rFonts w:ascii="仿宋_GB2312" w:eastAsia="仿宋_GB2312"/>
          <w:szCs w:val="32"/>
        </w:rPr>
        <w:t>“三审三校”制度，强化保密审查全流程管控，建立健全已公开信息常态化清理和动态更新机制，及时清理失效</w:t>
      </w:r>
      <w:r>
        <w:rPr>
          <w:rFonts w:hint="eastAsia" w:ascii="仿宋_GB2312" w:eastAsia="仿宋_GB2312"/>
          <w:szCs w:val="32"/>
        </w:rPr>
        <w:t>信息、更新有效信息</w:t>
      </w:r>
      <w:r>
        <w:rPr>
          <w:rFonts w:ascii="仿宋_GB2312" w:eastAsia="仿宋_GB2312"/>
          <w:szCs w:val="32"/>
        </w:rPr>
        <w:t>。</w:t>
      </w:r>
    </w:p>
    <w:p w14:paraId="329555A8">
      <w:pPr>
        <w:spacing w:line="560" w:lineRule="exact"/>
        <w:jc w:val="left"/>
        <w:rPr>
          <w:rFonts w:ascii="楷体_GB2312" w:eastAsia="楷体_GB2312"/>
        </w:rPr>
      </w:pPr>
      <w:r>
        <w:rPr>
          <w:rFonts w:hint="eastAsia" w:ascii="楷体_GB2312" w:eastAsia="楷体_GB2312"/>
        </w:rPr>
        <w:t>（四）政府信息公开平台建设</w:t>
      </w:r>
    </w:p>
    <w:p w14:paraId="1D823904">
      <w:pPr>
        <w:spacing w:line="560" w:lineRule="exact"/>
        <w:rPr>
          <w:rFonts w:ascii="仿宋_GB2312" w:eastAsia="仿宋_GB2312"/>
          <w:szCs w:val="32"/>
        </w:rPr>
      </w:pPr>
      <w:r>
        <w:rPr>
          <w:rFonts w:ascii="仿宋_GB2312" w:eastAsia="仿宋_GB2312"/>
          <w:szCs w:val="32"/>
        </w:rPr>
        <w:t>持续强化政府网站信息公开第一平台作用，优化栏目设置，实时更新。强化与市医疗保障局信息平台的数据互通，建立上下级政策信息同步发布机制，确保上级决策部署、政策调整信息快速传导、落地见效。</w:t>
      </w:r>
    </w:p>
    <w:p w14:paraId="1F6F8913">
      <w:pPr>
        <w:spacing w:line="560" w:lineRule="exact"/>
        <w:jc w:val="left"/>
        <w:rPr>
          <w:rFonts w:ascii="楷体_GB2312" w:eastAsia="楷体_GB2312"/>
        </w:rPr>
      </w:pPr>
      <w:r>
        <w:rPr>
          <w:rFonts w:hint="eastAsia" w:ascii="楷体_GB2312" w:eastAsia="楷体_GB2312"/>
        </w:rPr>
        <w:t>（五）监督保障</w:t>
      </w:r>
    </w:p>
    <w:p w14:paraId="5D45F1E5">
      <w:pPr>
        <w:spacing w:line="560" w:lineRule="exact"/>
        <w:rPr>
          <w:rFonts w:hint="eastAsia" w:ascii="仿宋_GB2312" w:eastAsia="仿宋_GB2312"/>
          <w:szCs w:val="32"/>
          <w:lang w:eastAsia="zh-CN"/>
        </w:rPr>
      </w:pPr>
      <w:r>
        <w:rPr>
          <w:rFonts w:hint="eastAsia" w:ascii="仿宋_GB2312" w:eastAsia="仿宋_GB2312"/>
          <w:szCs w:val="32"/>
        </w:rPr>
        <w:t>召开政务公开工作部署会议，由单位主要负责人亲自部署相关工作。建立办公室牵头统筹、各科室分工负责、专人具体落实的“三级联动”工作机制，年内组织政务公开专题培训2次，覆盖全体工作人员40余人次，有效提升理论水平和业务能力</w:t>
      </w:r>
      <w:r>
        <w:rPr>
          <w:rFonts w:hint="eastAsia" w:ascii="仿宋_GB2312" w:eastAsia="仿宋_GB2312"/>
          <w:szCs w:val="32"/>
          <w:lang w:eastAsia="zh-CN"/>
        </w:rPr>
        <w:t>。</w:t>
      </w:r>
    </w:p>
    <w:p w14:paraId="525BE792">
      <w:pPr>
        <w:spacing w:after="156" w:afterLines="50" w:line="240" w:lineRule="auto"/>
        <w:ind w:firstLine="640" w:firstLineChars="200"/>
        <w:rPr>
          <w:rFonts w:ascii="黑体" w:hAnsi="黑体" w:eastAsia="黑体"/>
          <w:szCs w:val="32"/>
        </w:rPr>
      </w:pPr>
    </w:p>
    <w:p w14:paraId="7045F3E6">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0E96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086CC62">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110E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6605C8C">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2451097E">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074C57FE">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5A602B1F">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0A49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9F741E2">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3F3E7C8F">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1F2FAFA5">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6B9DD4FF">
            <w:pPr>
              <w:spacing w:line="240" w:lineRule="auto"/>
              <w:ind w:firstLine="0"/>
              <w:jc w:val="center"/>
              <w:rPr>
                <w:rFonts w:ascii="黑体" w:hAnsi="黑体" w:eastAsia="黑体"/>
                <w:sz w:val="20"/>
              </w:rPr>
            </w:pPr>
            <w:r>
              <w:rPr>
                <w:rFonts w:hint="eastAsia" w:ascii="黑体" w:hAnsi="黑体" w:eastAsia="黑体"/>
                <w:sz w:val="20"/>
              </w:rPr>
              <w:t>0</w:t>
            </w:r>
          </w:p>
        </w:tc>
      </w:tr>
      <w:tr w14:paraId="2378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556E525">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40724A3E">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275A64C1">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14:paraId="184F49CC">
            <w:pPr>
              <w:spacing w:line="240" w:lineRule="auto"/>
              <w:ind w:firstLine="0"/>
              <w:jc w:val="center"/>
              <w:rPr>
                <w:rFonts w:ascii="黑体" w:hAnsi="黑体" w:eastAsia="黑体"/>
                <w:sz w:val="20"/>
              </w:rPr>
            </w:pPr>
            <w:r>
              <w:rPr>
                <w:rFonts w:hint="eastAsia" w:ascii="黑体" w:hAnsi="黑体" w:eastAsia="黑体"/>
                <w:sz w:val="20"/>
              </w:rPr>
              <w:t>0</w:t>
            </w:r>
          </w:p>
        </w:tc>
      </w:tr>
      <w:tr w14:paraId="7691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D17A905">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09B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074DFBE">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B8B277E">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1B5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06F857">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3D6914CA">
            <w:pPr>
              <w:spacing w:line="240" w:lineRule="auto"/>
              <w:ind w:firstLine="0"/>
              <w:jc w:val="center"/>
              <w:rPr>
                <w:rFonts w:ascii="黑体" w:hAnsi="黑体" w:eastAsia="黑体"/>
                <w:sz w:val="20"/>
              </w:rPr>
            </w:pPr>
            <w:r>
              <w:rPr>
                <w:rFonts w:hint="eastAsia" w:ascii="黑体" w:hAnsi="黑体" w:eastAsia="黑体"/>
                <w:sz w:val="20"/>
              </w:rPr>
              <w:t>0</w:t>
            </w:r>
          </w:p>
        </w:tc>
      </w:tr>
      <w:tr w14:paraId="097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93D5158">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5A06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EF31FA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27B1F2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145B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75B1282">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7DDABCDB">
            <w:pPr>
              <w:spacing w:line="240" w:lineRule="auto"/>
              <w:ind w:firstLine="0"/>
              <w:jc w:val="center"/>
              <w:rPr>
                <w:rFonts w:ascii="黑体" w:hAnsi="黑体" w:eastAsia="黑体"/>
                <w:sz w:val="20"/>
              </w:rPr>
            </w:pPr>
            <w:r>
              <w:rPr>
                <w:rFonts w:hint="eastAsia" w:ascii="黑体" w:hAnsi="黑体" w:eastAsia="黑体"/>
                <w:sz w:val="20"/>
              </w:rPr>
              <w:t>6</w:t>
            </w:r>
          </w:p>
        </w:tc>
      </w:tr>
      <w:tr w14:paraId="2017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C25BD90">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6B1F13D9">
            <w:pPr>
              <w:spacing w:line="240" w:lineRule="auto"/>
              <w:ind w:firstLine="0"/>
              <w:jc w:val="center"/>
              <w:rPr>
                <w:rFonts w:ascii="黑体" w:hAnsi="黑体" w:eastAsia="黑体"/>
                <w:sz w:val="20"/>
              </w:rPr>
            </w:pPr>
            <w:r>
              <w:rPr>
                <w:rFonts w:hint="eastAsia" w:ascii="黑体" w:hAnsi="黑体" w:eastAsia="黑体"/>
                <w:sz w:val="20"/>
              </w:rPr>
              <w:t>0</w:t>
            </w:r>
          </w:p>
        </w:tc>
      </w:tr>
      <w:tr w14:paraId="7135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F25DBE6">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493E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EF6E7F7">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D5DA2C3">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7F5E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5DE4B71">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FC19DEC">
            <w:pPr>
              <w:spacing w:line="240" w:lineRule="auto"/>
              <w:ind w:firstLine="0"/>
              <w:jc w:val="center"/>
              <w:rPr>
                <w:rFonts w:ascii="黑体" w:hAnsi="黑体" w:eastAsia="黑体"/>
                <w:sz w:val="20"/>
              </w:rPr>
            </w:pPr>
            <w:r>
              <w:rPr>
                <w:rFonts w:hint="eastAsia" w:ascii="黑体" w:hAnsi="黑体" w:eastAsia="黑体"/>
                <w:sz w:val="20"/>
              </w:rPr>
              <w:t>0</w:t>
            </w:r>
          </w:p>
        </w:tc>
      </w:tr>
    </w:tbl>
    <w:p w14:paraId="44D8B907">
      <w:pPr>
        <w:spacing w:line="240" w:lineRule="auto"/>
        <w:ind w:firstLine="0"/>
        <w:rPr>
          <w:rFonts w:ascii="黑体" w:hAnsi="黑体" w:eastAsia="黑体"/>
          <w:sz w:val="30"/>
          <w:szCs w:val="30"/>
        </w:rPr>
      </w:pPr>
    </w:p>
    <w:p w14:paraId="46EBEE9E">
      <w:pPr>
        <w:spacing w:line="240" w:lineRule="auto"/>
        <w:ind w:firstLine="0"/>
        <w:rPr>
          <w:rFonts w:ascii="黑体" w:hAnsi="黑体" w:eastAsia="黑体"/>
          <w:sz w:val="30"/>
          <w:szCs w:val="30"/>
        </w:rPr>
      </w:pPr>
    </w:p>
    <w:p w14:paraId="72B24B86">
      <w:pPr>
        <w:spacing w:line="240" w:lineRule="auto"/>
        <w:ind w:firstLine="0"/>
        <w:rPr>
          <w:rFonts w:ascii="黑体" w:hAnsi="黑体" w:eastAsia="黑体"/>
          <w:sz w:val="30"/>
          <w:szCs w:val="30"/>
        </w:rPr>
      </w:pPr>
    </w:p>
    <w:p w14:paraId="313C1371">
      <w:pPr>
        <w:spacing w:line="240" w:lineRule="auto"/>
        <w:ind w:firstLine="0"/>
        <w:rPr>
          <w:rFonts w:ascii="黑体" w:hAnsi="黑体" w:eastAsia="黑体"/>
          <w:sz w:val="30"/>
          <w:szCs w:val="30"/>
        </w:rPr>
      </w:pPr>
    </w:p>
    <w:p w14:paraId="2470B8A2">
      <w:pPr>
        <w:spacing w:line="240" w:lineRule="auto"/>
        <w:ind w:firstLine="0"/>
        <w:rPr>
          <w:rFonts w:ascii="黑体" w:hAnsi="黑体" w:eastAsia="黑体"/>
          <w:sz w:val="30"/>
          <w:szCs w:val="30"/>
        </w:rPr>
      </w:pPr>
    </w:p>
    <w:p w14:paraId="6C48CE31">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6A537AB0">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E37ECB2">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39F37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75EA11D0">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961C9C4">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354928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FF36FF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2E8629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6A2882C9">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D18064">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50B4CE34">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CE00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2E6BDDB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7586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3994E35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D5766D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1BF0E3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12E8F8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DD54565">
            <w:pPr>
              <w:widowControl/>
              <w:autoSpaceDE/>
              <w:autoSpaceDN/>
              <w:snapToGrid/>
              <w:spacing w:line="240" w:lineRule="auto"/>
              <w:ind w:firstLine="0"/>
              <w:jc w:val="left"/>
              <w:rPr>
                <w:rFonts w:ascii="宋体" w:hAnsi="宋体" w:eastAsia="宋体" w:cs="宋体"/>
                <w:snapToGrid/>
                <w:sz w:val="24"/>
                <w:szCs w:val="24"/>
              </w:rPr>
            </w:pPr>
          </w:p>
        </w:tc>
      </w:tr>
      <w:tr w14:paraId="30E8318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0F0575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FA198E">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F1565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5C526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7CBC0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EA082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360AB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9E9F42B">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r>
      <w:tr w14:paraId="7F6F9B9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3A7DCA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6F5C46">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4729A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2661F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ED738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93E7B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DD9AA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A1C83D9">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2335F051">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029A47D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E25237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D4B5C40">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3A5A5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1E32F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96C856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A812E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680C0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24CC7AA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r>
              <w:rPr>
                <w:rFonts w:ascii="Calibri" w:hAnsi="Calibri" w:eastAsia="宋体" w:cs="Calibri"/>
                <w:snapToGrid/>
                <w:sz w:val="20"/>
              </w:rPr>
              <w:t> </w:t>
            </w:r>
          </w:p>
        </w:tc>
      </w:tr>
      <w:tr w14:paraId="2A305D4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511BB4">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055E89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C9A64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D3741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7234A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1F92C5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3A3A2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CC213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7690AB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26DEEE0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BF0E2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C67F40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4E0A40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729FA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5522F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B8BC6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F8BE6E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2CC67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6A845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CACCFE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4C1702D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4820E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0B989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28CE0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DF9D8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544DC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4C965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E10CC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48B685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D172A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A91EF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73EA2F4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29BB68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08865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9756A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F8CA4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84AE4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CD6F0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4DA95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36703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95F21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9C3904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0D65C92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A86256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55DB41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CACCA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713C8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9241D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5155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CC0E8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0BE2D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9E6F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F43DF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5879D8C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8B8CA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F447C0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4825E9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B1E5C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2F44D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65B95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D0D57F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D5704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766E7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ACC7C8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04EF445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868C8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B2C244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D1F44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673D5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F45E0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85219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7DEBA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3FD03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5E9D3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8D0223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619FFE3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AF995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19221B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E13DD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D5C2E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E6204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3D5B6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B292A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59537B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EFB51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330F6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04146FA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595AE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81F9B6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73E2A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DB1C1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CF97C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7918A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76561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D28B1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D7397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201F6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298E2CE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4D2B78">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D4D2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BE6AE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BB38FF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805E9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5C404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CF228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DE163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90E05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21E012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6EF7964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705C3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524D40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9706B5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5CB00E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52ED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D783A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E1B4E3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1E86E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94837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7291BF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684327F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29779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B3583F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4BB28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4ED7D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CDA81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695C3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E04AA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08265C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16272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F96712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454D82A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8B348">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831A4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9331C1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06AAE7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0EA29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E02D3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BBA82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669CB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71238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DE96A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5D3796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DCB65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E6388C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B5389C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B0428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0D7E1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BDD29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C35BB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1C85A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C0C24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8532F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140DEF8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290AD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2BCE73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23BDB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E28A9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25B81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FAF4E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1D7EB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0C533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57CC1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7A187B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3CC6FA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203227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56BD74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6752B9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8BFF63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F41F2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7CD528">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D55B3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51A32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92079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F483AF">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1846FEE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75F9C64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EE39F8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E371F5E">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10FDC39">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A5A59B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9A0AE2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057606A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2FBDB6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B700E8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55FD1805">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2D2CCC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F4AF9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26E1E5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9A580A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42F900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D28546">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85425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1BDBCC">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B7C86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4DAA9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32F84A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0FF3B0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0EFBF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AC37CE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BD72C5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7ABD55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D7969A">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DAA9C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2760C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0489A0">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57E16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194162">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r>
      <w:tr w14:paraId="04E61EB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835A9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1BA279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F54356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82FAF2">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C3DF3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C8CA2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FAD4BC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04E371">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68B157">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3679F6F">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14:paraId="7D6CC58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F7367D9">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A76408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3F9FDEB">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B6D51D">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114BE3">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3A3E0B">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BB7444">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59F03E">
            <w:pPr>
              <w:widowControl/>
              <w:autoSpaceDE/>
              <w:autoSpaceDN/>
              <w:snapToGrid/>
              <w:spacing w:line="240" w:lineRule="auto"/>
              <w:ind w:firstLine="0"/>
              <w:jc w:val="center"/>
              <w:rPr>
                <w:rFonts w:ascii="宋体" w:hAnsi="宋体" w:eastAsia="宋体" w:cs="宋体"/>
                <w:snapToGrid/>
                <w:sz w:val="24"/>
                <w:szCs w:val="24"/>
              </w:rPr>
            </w:pPr>
            <w:r>
              <w:rPr>
                <w:rFonts w:eastAsia="宋体"/>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DE97FE4">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r>
      <w:tr w14:paraId="3EEC5C9C">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A007F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36BC39">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94CD9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B180DC">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CA7575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299F1B6">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3B318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56995C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14:paraId="2755DCBE">
      <w:pPr>
        <w:spacing w:line="240" w:lineRule="auto"/>
        <w:ind w:firstLine="600" w:firstLineChars="200"/>
        <w:rPr>
          <w:rFonts w:ascii="黑体" w:hAnsi="黑体" w:eastAsia="黑体"/>
          <w:sz w:val="30"/>
          <w:szCs w:val="30"/>
        </w:rPr>
      </w:pPr>
    </w:p>
    <w:p w14:paraId="2C509258">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FEAE7DF">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BDE3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38C5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61927C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1C19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828A9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E63F2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DB80D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B7DA4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4BC1F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13713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1F5BEB1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ED79EA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A2DB52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13D4E1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323F86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C37548D">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6E7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8B5F6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04D09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2CA49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B499D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85E33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43963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F6B6F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BAAFB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41410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41851CFE">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14B8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F10F7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76B73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E9206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0C2DB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D801B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4D96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F67C5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C6490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76DC1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57240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F47BE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9A12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0E79B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A063F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14:paraId="706B92C1">
      <w:pPr>
        <w:spacing w:line="240" w:lineRule="auto"/>
        <w:ind w:firstLine="640" w:firstLineChars="200"/>
        <w:rPr>
          <w:rFonts w:ascii="黑体" w:hAnsi="黑体" w:eastAsia="黑体"/>
          <w:szCs w:val="32"/>
        </w:rPr>
      </w:pPr>
    </w:p>
    <w:p w14:paraId="756A780E">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0438C0A6">
      <w:pPr>
        <w:spacing w:line="560" w:lineRule="exact"/>
        <w:jc w:val="left"/>
        <w:rPr>
          <w:rFonts w:hint="eastAsia" w:ascii="楷体_GB2312" w:eastAsia="楷体_GB2312"/>
        </w:rPr>
      </w:pPr>
      <w:r>
        <w:rPr>
          <w:rFonts w:hint="eastAsia" w:ascii="楷体_GB2312" w:eastAsia="楷体_GB2312"/>
        </w:rPr>
        <w:t>（一）存在问题</w:t>
      </w:r>
    </w:p>
    <w:p w14:paraId="2B782A39">
      <w:pPr>
        <w:spacing w:line="560" w:lineRule="exact"/>
        <w:ind w:firstLine="640" w:firstLineChars="200"/>
        <w:rPr>
          <w:rFonts w:hint="eastAsia" w:eastAsia="仿宋_GB2312"/>
          <w:szCs w:val="32"/>
        </w:rPr>
      </w:pPr>
      <w:r>
        <w:rPr>
          <w:rFonts w:hint="eastAsia" w:eastAsia="仿宋_GB2312"/>
          <w:szCs w:val="32"/>
          <w:lang w:eastAsia="zh-CN"/>
        </w:rPr>
        <w:t>一是</w:t>
      </w:r>
      <w:r>
        <w:rPr>
          <w:rFonts w:hint="eastAsia" w:eastAsia="仿宋_GB2312"/>
          <w:szCs w:val="32"/>
        </w:rPr>
        <w:t>部分科室对政务公开认识不足，存在畏难思想，导致公开内容不全、更新不及时，未能有效保障群众知情权、监督权。</w:t>
      </w:r>
    </w:p>
    <w:p w14:paraId="66632E8A">
      <w:pPr>
        <w:spacing w:line="560" w:lineRule="exact"/>
        <w:ind w:firstLine="640" w:firstLineChars="200"/>
        <w:rPr>
          <w:rFonts w:hint="eastAsia" w:ascii="楷体_GB2312" w:hAnsi="黑体" w:eastAsia="仿宋_GB2312"/>
          <w:sz w:val="30"/>
          <w:szCs w:val="30"/>
          <w:lang w:eastAsia="zh-CN"/>
        </w:rPr>
      </w:pPr>
      <w:r>
        <w:rPr>
          <w:rFonts w:hint="eastAsia" w:eastAsia="仿宋_GB2312"/>
          <w:szCs w:val="32"/>
        </w:rPr>
        <w:t>二是回应群众关切不够主动及时，尤其在医疗救助、医保缴费等高频问题上，存在</w:t>
      </w:r>
      <w:r>
        <w:rPr>
          <w:rFonts w:hint="eastAsia" w:eastAsia="仿宋_GB2312"/>
          <w:szCs w:val="32"/>
          <w:lang w:eastAsia="zh-CN"/>
        </w:rPr>
        <w:t>公开内容</w:t>
      </w:r>
      <w:r>
        <w:rPr>
          <w:rFonts w:hint="eastAsia" w:eastAsia="仿宋_GB2312"/>
          <w:szCs w:val="32"/>
        </w:rPr>
        <w:t>不一、回应时效滞后</w:t>
      </w:r>
      <w:r>
        <w:rPr>
          <w:rFonts w:hint="eastAsia" w:eastAsia="仿宋_GB2312"/>
          <w:szCs w:val="32"/>
          <w:lang w:eastAsia="zh-CN"/>
        </w:rPr>
        <w:t>，</w:t>
      </w:r>
      <w:r>
        <w:rPr>
          <w:rFonts w:hint="eastAsia" w:eastAsia="仿宋_GB2312"/>
          <w:szCs w:val="32"/>
        </w:rPr>
        <w:t>导致群众疑问未能得到有效解决</w:t>
      </w:r>
      <w:r>
        <w:rPr>
          <w:rFonts w:hint="eastAsia" w:eastAsia="仿宋_GB2312"/>
          <w:szCs w:val="32"/>
          <w:lang w:eastAsia="zh-CN"/>
        </w:rPr>
        <w:t>。</w:t>
      </w:r>
    </w:p>
    <w:p w14:paraId="00C6D327">
      <w:pPr>
        <w:spacing w:line="560" w:lineRule="exact"/>
        <w:jc w:val="left"/>
        <w:rPr>
          <w:rFonts w:hint="eastAsia" w:ascii="楷体_GB2312" w:eastAsia="楷体_GB2312"/>
        </w:rPr>
      </w:pPr>
      <w:r>
        <w:rPr>
          <w:rFonts w:hint="eastAsia" w:ascii="楷体_GB2312" w:eastAsia="楷体_GB2312"/>
        </w:rPr>
        <w:t>（二）改进情况</w:t>
      </w:r>
    </w:p>
    <w:p w14:paraId="3A72E6A1">
      <w:pPr>
        <w:spacing w:line="560" w:lineRule="exact"/>
        <w:rPr>
          <w:rFonts w:hint="eastAsia" w:eastAsia="仿宋_GB2312"/>
          <w:szCs w:val="32"/>
        </w:rPr>
      </w:pPr>
      <w:r>
        <w:rPr>
          <w:rFonts w:hint="eastAsia" w:eastAsia="仿宋_GB2312"/>
          <w:szCs w:val="32"/>
        </w:rPr>
        <w:t>一是召开政务公开培训会，组织学习</w:t>
      </w:r>
      <w:r>
        <w:rPr>
          <w:rFonts w:hint="eastAsia" w:eastAsia="仿宋_GB2312"/>
          <w:szCs w:val="32"/>
          <w:lang w:eastAsia="zh-CN"/>
        </w:rPr>
        <w:t>信息公开</w:t>
      </w:r>
      <w:r>
        <w:rPr>
          <w:rFonts w:hint="eastAsia" w:eastAsia="仿宋_GB2312"/>
          <w:szCs w:val="32"/>
        </w:rPr>
        <w:t>条例与</w:t>
      </w:r>
      <w:r>
        <w:rPr>
          <w:rFonts w:hint="eastAsia" w:eastAsia="仿宋_GB2312"/>
          <w:szCs w:val="32"/>
          <w:lang w:eastAsia="zh-CN"/>
        </w:rPr>
        <w:t>上级</w:t>
      </w:r>
      <w:r>
        <w:rPr>
          <w:rFonts w:hint="eastAsia" w:eastAsia="仿宋_GB2312"/>
          <w:szCs w:val="32"/>
        </w:rPr>
        <w:t>部署，扭转“少公开、少出错”思想，树立“应公开、尽公开”理念，明确责任与时限，推动工作落实。</w:t>
      </w:r>
    </w:p>
    <w:p w14:paraId="523CBFFC">
      <w:pPr>
        <w:spacing w:line="560" w:lineRule="exact"/>
        <w:rPr>
          <w:rFonts w:eastAsia="仿宋_GB2312"/>
          <w:szCs w:val="32"/>
        </w:rPr>
      </w:pPr>
      <w:r>
        <w:rPr>
          <w:rFonts w:hint="eastAsia" w:eastAsia="仿宋_GB2312"/>
          <w:szCs w:val="32"/>
        </w:rPr>
        <w:t>二是聚焦群众关切，提升回应质效。梳理形成医疗救助、医保参保、异地就医等群众高频咨询事项清单，制定标准化答复口径并下发至各科室，确保</w:t>
      </w:r>
      <w:r>
        <w:rPr>
          <w:rFonts w:hint="eastAsia" w:eastAsia="仿宋_GB2312"/>
          <w:szCs w:val="32"/>
          <w:lang w:eastAsia="zh-CN"/>
        </w:rPr>
        <w:t>公开</w:t>
      </w:r>
      <w:r>
        <w:rPr>
          <w:rFonts w:hint="eastAsia" w:eastAsia="仿宋_GB2312"/>
          <w:szCs w:val="32"/>
        </w:rPr>
        <w:t>内容规范统一。</w:t>
      </w:r>
    </w:p>
    <w:p w14:paraId="613B5893">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7DAAF51D">
      <w:pPr>
        <w:spacing w:line="560" w:lineRule="exact"/>
        <w:jc w:val="left"/>
        <w:rPr>
          <w:rFonts w:hint="eastAsia" w:ascii="楷体_GB2312" w:eastAsia="楷体_GB2312"/>
        </w:rPr>
      </w:pPr>
      <w:r>
        <w:rPr>
          <w:rFonts w:hint="eastAsia" w:ascii="楷体_GB2312" w:eastAsia="楷体_GB2312"/>
        </w:rPr>
        <w:t>（一）政府信息公开信息处理费收取情况</w:t>
      </w:r>
    </w:p>
    <w:p w14:paraId="5C0BE05E">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6B0543BA">
      <w:pPr>
        <w:spacing w:line="560" w:lineRule="exact"/>
        <w:jc w:val="left"/>
        <w:rPr>
          <w:rFonts w:hint="eastAsia" w:ascii="楷体_GB2312" w:eastAsia="楷体_GB2312"/>
        </w:rPr>
      </w:pPr>
      <w:r>
        <w:rPr>
          <w:rFonts w:hint="eastAsia" w:ascii="楷体_GB2312" w:eastAsia="楷体_GB2312"/>
        </w:rPr>
        <w:t>（二）落实上级年度政务公开工作要点情况</w:t>
      </w:r>
    </w:p>
    <w:p w14:paraId="16ABA197">
      <w:pPr>
        <w:spacing w:line="560" w:lineRule="exact"/>
        <w:rPr>
          <w:rFonts w:ascii="仿宋_GB2312" w:eastAsia="仿宋_GB2312"/>
          <w:szCs w:val="32"/>
        </w:rPr>
      </w:pPr>
      <w:r>
        <w:rPr>
          <w:rFonts w:hint="eastAsia" w:ascii="仿宋_GB2312" w:eastAsia="仿宋_GB2312"/>
          <w:szCs w:val="32"/>
        </w:rPr>
        <w:t>严格落实国家和省市县政务公开工作要点，并根据《高青县人民政府办公室关于印发2025年高青县政务公开工作方案的通知》要求，制定了《淄博市医疗保障局高青分局政务公开工作方案》，明确了重点任务、工作标准和完成时限。一是聚焦医疗救助和医保领域，及时更新并发布参保缴费、报销比例、异地就医等群众关切的核心信息，确保线上线下同步公开。2025年编印各类医保政策解读2000余份，详细</w:t>
      </w:r>
      <w:r>
        <w:rPr>
          <w:rFonts w:ascii="仿宋_GB2312" w:eastAsia="仿宋_GB2312"/>
          <w:szCs w:val="32"/>
        </w:rPr>
        <w:t>解读参保缴费、待遇报销、</w:t>
      </w:r>
      <w:r>
        <w:rPr>
          <w:rFonts w:hint="eastAsia" w:ascii="仿宋_GB2312" w:eastAsia="仿宋_GB2312"/>
          <w:szCs w:val="32"/>
        </w:rPr>
        <w:t>慢特病办理</w:t>
      </w:r>
      <w:r>
        <w:rPr>
          <w:rFonts w:ascii="仿宋_GB2312" w:eastAsia="仿宋_GB2312"/>
          <w:szCs w:val="32"/>
        </w:rPr>
        <w:t>等高频事项办理流程及常见问题，为群众提供精准政策指引，切实提升群众对医保政策的知晓度</w:t>
      </w:r>
      <w:r>
        <w:rPr>
          <w:rFonts w:hint="eastAsia" w:ascii="仿宋_GB2312" w:eastAsia="仿宋_GB2312"/>
          <w:szCs w:val="32"/>
          <w:lang w:eastAsia="zh-CN"/>
        </w:rPr>
        <w:t>。</w:t>
      </w:r>
      <w:r>
        <w:rPr>
          <w:rFonts w:hint="eastAsia" w:ascii="仿宋_GB2312" w:eastAsia="仿宋_GB2312"/>
          <w:szCs w:val="32"/>
        </w:rPr>
        <w:t>二是建立信息动态更新机制，明确专人负责信息收集、整理、审核与发布工作，严格政务公开时限要求，杜绝信息滞后、内容模糊等问题。</w:t>
      </w:r>
    </w:p>
    <w:p w14:paraId="650542FC">
      <w:pPr>
        <w:spacing w:line="560" w:lineRule="exact"/>
        <w:jc w:val="left"/>
        <w:rPr>
          <w:rFonts w:hint="eastAsia" w:ascii="楷体_GB2312" w:eastAsia="楷体_GB2312"/>
        </w:rPr>
      </w:pPr>
      <w:r>
        <w:rPr>
          <w:rFonts w:hint="eastAsia" w:ascii="楷体_GB2312" w:eastAsia="楷体_GB2312"/>
        </w:rPr>
        <w:t>（三）人大代表建议和政协委员提案办理结果公开情况</w:t>
      </w:r>
    </w:p>
    <w:p w14:paraId="7D11895E">
      <w:pPr>
        <w:spacing w:line="560" w:lineRule="exact"/>
        <w:ind w:firstLine="640" w:firstLineChars="200"/>
        <w:rPr>
          <w:rFonts w:eastAsia="仿宋_GB2312" w:cs="仿宋_GB2312"/>
          <w:szCs w:val="32"/>
        </w:rPr>
      </w:pPr>
      <w:r>
        <w:rPr>
          <w:rFonts w:hint="eastAsia" w:ascii="仿宋_GB2312" w:eastAsia="仿宋_GB2312"/>
          <w:szCs w:val="32"/>
        </w:rPr>
        <w:t>2025年共承办县政协十五届四次会议提案3件，办复率均为100%。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14:paraId="154A0340">
      <w:pPr>
        <w:spacing w:line="560" w:lineRule="exact"/>
        <w:jc w:val="left"/>
        <w:rPr>
          <w:rFonts w:hint="eastAsia" w:ascii="楷体_GB2312" w:eastAsia="楷体_GB2312"/>
        </w:rPr>
      </w:pPr>
      <w:r>
        <w:rPr>
          <w:rFonts w:hint="eastAsia" w:ascii="楷体_GB2312" w:eastAsia="楷体_GB2312"/>
        </w:rPr>
        <w:t>（四）政务公开工作创新情况</w:t>
      </w:r>
    </w:p>
    <w:p w14:paraId="10A443BD">
      <w:pPr>
        <w:spacing w:line="560" w:lineRule="exact"/>
        <w:ind w:firstLine="640" w:firstLineChars="200"/>
        <w:rPr>
          <w:rFonts w:ascii="仿宋_GB2312" w:eastAsia="仿宋_GB2312"/>
          <w:szCs w:val="32"/>
        </w:rPr>
      </w:pPr>
      <w:r>
        <w:rPr>
          <w:rFonts w:hint="eastAsia" w:ascii="仿宋_GB2312" w:eastAsia="仿宋_GB2312"/>
          <w:szCs w:val="32"/>
        </w:rPr>
        <w:t>一是扩展医保信息政务公开渠道。</w:t>
      </w:r>
      <w:r>
        <w:rPr>
          <w:rFonts w:hint="eastAsia" w:ascii="仿宋_GB2312" w:eastAsia="仿宋_GB2312"/>
          <w:szCs w:val="32"/>
          <w:lang w:eastAsia="zh-CN"/>
        </w:rPr>
        <w:t>公开</w:t>
      </w:r>
      <w:r>
        <w:rPr>
          <w:rFonts w:hint="eastAsia" w:ascii="仿宋_GB2312" w:eastAsia="仿宋_GB2312"/>
          <w:szCs w:val="32"/>
        </w:rPr>
        <w:t>镇（街道）医保工作站（点）</w:t>
      </w:r>
      <w:r>
        <w:rPr>
          <w:rFonts w:hint="eastAsia" w:ascii="仿宋_GB2312" w:eastAsia="仿宋_GB2312"/>
          <w:szCs w:val="32"/>
          <w:lang w:eastAsia="zh-CN"/>
        </w:rPr>
        <w:t>信息，将站点打造成政务公开的延伸窗口，为群众提供</w:t>
      </w:r>
      <w:r>
        <w:rPr>
          <w:rFonts w:hint="eastAsia" w:ascii="仿宋_GB2312" w:eastAsia="仿宋_GB2312"/>
          <w:szCs w:val="32"/>
        </w:rPr>
        <w:t>参保信息查询、定点医药机构查询、异地联网定点医疗机构查询、医保政策宣传等</w:t>
      </w:r>
      <w:r>
        <w:rPr>
          <w:rFonts w:hint="eastAsia" w:ascii="仿宋_GB2312" w:eastAsia="仿宋_GB2312"/>
          <w:szCs w:val="32"/>
          <w:lang w:eastAsia="zh-CN"/>
        </w:rPr>
        <w:t>服务，将公开渠道延伸到群众身边</w:t>
      </w:r>
      <w:r>
        <w:rPr>
          <w:rFonts w:hint="eastAsia" w:ascii="仿宋_GB2312" w:eastAsia="仿宋_GB2312"/>
          <w:szCs w:val="32"/>
        </w:rPr>
        <w:t>。</w:t>
      </w:r>
    </w:p>
    <w:p w14:paraId="68D176BF">
      <w:pPr>
        <w:spacing w:line="560" w:lineRule="exact"/>
        <w:jc w:val="left"/>
        <w:rPr>
          <w:rFonts w:hint="eastAsia" w:ascii="楷体_GB2312" w:eastAsia="楷体_GB2312"/>
        </w:rPr>
      </w:pPr>
      <w:r>
        <w:rPr>
          <w:rFonts w:hint="eastAsia" w:ascii="楷体_GB2312" w:eastAsia="楷体_GB2312"/>
        </w:rPr>
        <w:t>（五）有关数据统计说明</w:t>
      </w:r>
    </w:p>
    <w:p w14:paraId="42789D6E">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03B8E165">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0A254D3E">
      <w:pPr>
        <w:spacing w:line="560" w:lineRule="exact"/>
        <w:ind w:firstLine="640" w:firstLineChars="200"/>
        <w:rPr>
          <w:rFonts w:ascii="仿宋_GB2312" w:eastAsia="仿宋_GB2312"/>
          <w:szCs w:val="32"/>
        </w:rPr>
      </w:pPr>
      <w:r>
        <w:rPr>
          <w:rFonts w:hint="eastAsia" w:ascii="仿宋_GB2312" w:eastAsia="仿宋_GB2312"/>
          <w:szCs w:val="32"/>
        </w:rPr>
        <w:t>3.行政复议机关作为共同被告的行政诉讼案件，只计算原行为主体的案件数量，不计算行政复议机关的案件数量。</w:t>
      </w:r>
    </w:p>
    <w:p w14:paraId="4073FBF5">
      <w:pPr>
        <w:spacing w:line="560" w:lineRule="exact"/>
        <w:ind w:firstLine="600" w:firstLineChars="200"/>
        <w:rPr>
          <w:rFonts w:ascii="黑体" w:hAnsi="黑体" w:eastAsia="黑体"/>
          <w:sz w:val="30"/>
          <w:szCs w:val="30"/>
        </w:rPr>
      </w:pPr>
    </w:p>
    <w:p w14:paraId="7D721E0E">
      <w:pPr>
        <w:ind w:firstLine="640" w:firstLineChars="200"/>
        <w:jc w:val="left"/>
        <w:rPr>
          <w:rFonts w:ascii="仿宋_GB2312" w:eastAsia="仿宋_GB2312"/>
        </w:rPr>
      </w:pPr>
    </w:p>
    <w:p w14:paraId="1C3D063E">
      <w:pPr>
        <w:ind w:firstLine="640" w:firstLineChars="200"/>
        <w:jc w:val="left"/>
        <w:rPr>
          <w:rFonts w:ascii="仿宋_GB2312" w:eastAsia="仿宋_GB2312"/>
        </w:rPr>
      </w:pPr>
    </w:p>
    <w:p w14:paraId="15B32511">
      <w:pPr>
        <w:ind w:firstLine="600" w:firstLineChars="200"/>
        <w:jc w:val="left"/>
        <w:rPr>
          <w:rFonts w:ascii="楷体_GB2312" w:hAnsi="黑体" w:eastAsia="楷体_GB2312"/>
          <w:sz w:val="30"/>
          <w:szCs w:val="30"/>
        </w:rPr>
      </w:pPr>
    </w:p>
    <w:p w14:paraId="0A35BF2E">
      <w:pPr>
        <w:spacing w:line="560" w:lineRule="exact"/>
        <w:ind w:firstLine="600" w:firstLineChars="200"/>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 w:name="PingFang SC">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2E16"/>
    <w:multiLevelType w:val="singleLevel"/>
    <w:tmpl w:val="EFBF2E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D07C7"/>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B270B3"/>
    <w:rsid w:val="00C542CC"/>
    <w:rsid w:val="00C67940"/>
    <w:rsid w:val="00C73BD0"/>
    <w:rsid w:val="00CC2BE7"/>
    <w:rsid w:val="00CC521B"/>
    <w:rsid w:val="00CD1D00"/>
    <w:rsid w:val="00D234BA"/>
    <w:rsid w:val="00E50639"/>
    <w:rsid w:val="00E60B5D"/>
    <w:rsid w:val="00EA0721"/>
    <w:rsid w:val="00ED2963"/>
    <w:rsid w:val="00EF5607"/>
    <w:rsid w:val="00F76E95"/>
    <w:rsid w:val="00FA216A"/>
    <w:rsid w:val="00FD5381"/>
    <w:rsid w:val="436FD8D5"/>
    <w:rsid w:val="5B3B5816"/>
    <w:rsid w:val="6FFE4518"/>
    <w:rsid w:val="7E5FC2A0"/>
    <w:rsid w:val="7F7FB280"/>
    <w:rsid w:val="7FFFEF35"/>
    <w:rsid w:val="FF6BB0D8"/>
    <w:rsid w:val="FFFBEA7A"/>
    <w:rsid w:val="FFFDB812"/>
    <w:rsid w:val="FFFFA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政府信息公开数据图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[工作簿2]Sheet1!$A$3:$A$9</c:f>
              <c:strCache>
                <c:ptCount val="7"/>
                <c:pt idx="0">
                  <c:v>重要部署执行</c:v>
                </c:pt>
                <c:pt idx="1">
                  <c:v>建议提案办理</c:v>
                </c:pt>
                <c:pt idx="2">
                  <c:v>行政执法公示</c:v>
                </c:pt>
                <c:pt idx="3">
                  <c:v>医疗救助</c:v>
                </c:pt>
                <c:pt idx="4">
                  <c:v>医疗保险</c:v>
                </c:pt>
                <c:pt idx="5">
                  <c:v>政府会议信息</c:v>
                </c:pt>
                <c:pt idx="6">
                  <c:v>其他领域</c:v>
                </c:pt>
              </c:strCache>
            </c:strRef>
          </c:cat>
          <c:val>
            <c:numRef>
              <c:f>[工作簿2]Sheet1!$B$3:$B$9</c:f>
              <c:numCache>
                <c:formatCode>General</c:formatCode>
                <c:ptCount val="7"/>
                <c:pt idx="0">
                  <c:v>7</c:v>
                </c:pt>
                <c:pt idx="1">
                  <c:v>4</c:v>
                </c:pt>
                <c:pt idx="2">
                  <c:v>8</c:v>
                </c:pt>
                <c:pt idx="3">
                  <c:v>11</c:v>
                </c:pt>
                <c:pt idx="4">
                  <c:v>12</c:v>
                </c:pt>
                <c:pt idx="5">
                  <c:v>4</c:v>
                </c:pt>
                <c:pt idx="6">
                  <c:v>11</c:v>
                </c:pt>
              </c:numCache>
            </c:numRef>
          </c:val>
        </c:ser>
        <c:ser>
          <c:idx val="1"/>
          <c:order val="1"/>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[工作簿2]Sheet1!$A$3:$A$9</c:f>
              <c:strCache>
                <c:ptCount val="7"/>
                <c:pt idx="0">
                  <c:v>重要部署执行</c:v>
                </c:pt>
                <c:pt idx="1">
                  <c:v>建议提案办理</c:v>
                </c:pt>
                <c:pt idx="2">
                  <c:v>行政执法公示</c:v>
                </c:pt>
                <c:pt idx="3">
                  <c:v>医疗救助</c:v>
                </c:pt>
                <c:pt idx="4">
                  <c:v>医疗保险</c:v>
                </c:pt>
                <c:pt idx="5">
                  <c:v>政府会议信息</c:v>
                </c:pt>
                <c:pt idx="6">
                  <c:v>其他领域</c:v>
                </c:pt>
              </c:strCache>
            </c:strRef>
          </c:cat>
          <c:val>
            <c:numRef>
              <c:f>[工作簿2]Sheet1!$C$3:$C$9</c:f>
              <c:numCache>
                <c:formatCode>0.00%</c:formatCode>
                <c:ptCount val="7"/>
                <c:pt idx="0">
                  <c:v>0.12280701754386</c:v>
                </c:pt>
                <c:pt idx="1">
                  <c:v>0.0701754385964912</c:v>
                </c:pt>
                <c:pt idx="2">
                  <c:v>0.140350877192982</c:v>
                </c:pt>
                <c:pt idx="3">
                  <c:v>0.192982456140351</c:v>
                </c:pt>
                <c:pt idx="4">
                  <c:v>0.210526315789474</c:v>
                </c:pt>
                <c:pt idx="5">
                  <c:v>0.0701754385964912</c:v>
                </c:pt>
                <c:pt idx="6">
                  <c:v>0.192982456140351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c02844-0dd2-4242-99f0-72acdb1e6a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732</Words>
  <Characters>4175</Characters>
  <Lines>34</Lines>
  <Paragraphs>9</Paragraphs>
  <TotalTime>25</TotalTime>
  <ScaleCrop>false</ScaleCrop>
  <LinksUpToDate>false</LinksUpToDate>
  <CharactersWithSpaces>4898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user</cp:lastModifiedBy>
  <dcterms:modified xsi:type="dcterms:W3CDTF">2026-01-23T15:43:42Z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2052-12.1.2.23578</vt:lpwstr>
  </property>
  <property fmtid="{D5CDD505-2E9C-101B-9397-08002B2CF9AE}" pid="4" name="ICV">
    <vt:lpwstr>FC7CD57CF53A487C91CD43F125EFDA86_12</vt:lpwstr>
  </property>
</Properties>
</file>