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jc w:val="center"/>
        <w:rPr>
          <w:rFonts w:ascii="方正小标宋简体" w:eastAsia="方正小标宋简体"/>
          <w:sz w:val="44"/>
          <w:szCs w:val="44"/>
        </w:rPr>
      </w:pPr>
      <w:r>
        <w:rPr>
          <w:rFonts w:hint="eastAsia" w:ascii="方正小标宋简体" w:eastAsia="方正小标宋简体"/>
          <w:sz w:val="44"/>
          <w:szCs w:val="44"/>
        </w:rPr>
        <w:t>淄博市医疗保障局高青分局</w:t>
      </w:r>
    </w:p>
    <w:p>
      <w:pPr>
        <w:spacing w:line="600" w:lineRule="exact"/>
        <w:ind w:firstLine="0"/>
        <w:jc w:val="center"/>
        <w:rPr>
          <w:rFonts w:ascii="方正小标宋简体" w:eastAsia="方正小标宋简体"/>
          <w:sz w:val="44"/>
          <w:szCs w:val="44"/>
        </w:rPr>
      </w:pPr>
      <w:r>
        <w:rPr>
          <w:rFonts w:hint="eastAsia" w:ascii="方正小标宋简体" w:eastAsia="方正小标宋简体"/>
          <w:sz w:val="44"/>
          <w:szCs w:val="44"/>
        </w:rPr>
        <w:t>2023年政府信息公开工作年度报告</w:t>
      </w:r>
    </w:p>
    <w:p>
      <w:pPr>
        <w:spacing w:line="600" w:lineRule="exact"/>
        <w:ind w:firstLine="0"/>
        <w:jc w:val="center"/>
        <w:rPr>
          <w:rFonts w:ascii="方正小标宋简体" w:eastAsia="方正小标宋简体"/>
          <w:sz w:val="44"/>
          <w:szCs w:val="44"/>
        </w:rPr>
      </w:pPr>
    </w:p>
    <w:p>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pPr>
        <w:spacing w:line="600" w:lineRule="exact"/>
        <w:ind w:firstLine="640" w:firstLineChars="200"/>
        <w:rPr>
          <w:rFonts w:ascii="仿宋_GB2312" w:hAnsi="黑体" w:eastAsia="仿宋_GB2312"/>
        </w:rPr>
      </w:pPr>
      <w:r>
        <w:rPr>
          <w:rFonts w:hint="eastAsia" w:ascii="仿宋_GB2312" w:eastAsia="仿宋_GB2312"/>
        </w:rPr>
        <w:t>报告中所列数据统计期限自2023年1月1日始，至2023年12月31日止。报告电子版可在高青县人民政府门户网站（www.gaoqing.gov.cn）查阅和下载。如对报告内容有疑问，请与淄博市医疗保障局高青分局办公室联系（地址：山东省淄博市高青县清河路9号；邮编：256300；电话：0533-6968175；邮箱：sylbzjgqfj@zb.shandong.cn）。</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widowControl/>
        <w:rPr>
          <w:rFonts w:ascii="仿宋_GB2312" w:eastAsia="仿宋_GB2312"/>
          <w:szCs w:val="32"/>
        </w:rPr>
      </w:pPr>
      <w:r>
        <w:rPr>
          <w:rFonts w:ascii="仿宋_GB2312" w:eastAsia="仿宋_GB2312"/>
          <w:szCs w:val="32"/>
        </w:rPr>
        <w:t>202</w:t>
      </w:r>
      <w:r>
        <w:rPr>
          <w:rFonts w:hint="eastAsia" w:ascii="仿宋_GB2312" w:eastAsia="仿宋_GB2312"/>
          <w:szCs w:val="32"/>
        </w:rPr>
        <w:t>3年，淄博市医疗保障局高青分局坚持以习近平新时代中国特色社会主义思想为指导，大力推进决策、执行、管理、服务、结果公开，深化重点领域信息公开，强化制度机制和平台建设，不断提升政务公开的质量和实效。</w:t>
      </w:r>
    </w:p>
    <w:p>
      <w:pPr>
        <w:spacing w:line="600" w:lineRule="exact"/>
        <w:jc w:val="left"/>
        <w:rPr>
          <w:rFonts w:ascii="楷体_GB2312" w:eastAsia="楷体_GB2312"/>
        </w:rPr>
      </w:pPr>
      <w:r>
        <w:rPr>
          <w:rFonts w:hint="eastAsia" w:ascii="楷体_GB2312" w:eastAsia="楷体_GB2312"/>
        </w:rPr>
        <w:t>（一）主动公开</w:t>
      </w:r>
    </w:p>
    <w:p>
      <w:pPr>
        <w:widowControl/>
        <w:rPr>
          <w:rFonts w:ascii="仿宋_GB2312" w:eastAsia="仿宋_GB2312"/>
          <w:szCs w:val="32"/>
        </w:rPr>
      </w:pPr>
      <w:r>
        <w:rPr>
          <w:rFonts w:hint="eastAsia" w:ascii="仿宋_GB2312" w:eastAsia="仿宋_GB2312"/>
          <w:szCs w:val="32"/>
        </w:rPr>
        <w:t>健全完善政务公开制度机制建设，制定《淄博市医疗保障局高青分局2023年政务公开工作方案》，深化</w:t>
      </w:r>
      <w:r>
        <w:rPr>
          <w:rFonts w:hint="eastAsia" w:ascii="仿宋_GB2312" w:eastAsia="仿宋_GB2312"/>
        </w:rPr>
        <w:t>医疗保险、医疗救助、医保服务等重点领域信息公开，做好行政执法</w:t>
      </w:r>
      <w:r>
        <w:rPr>
          <w:rFonts w:ascii="仿宋_GB2312" w:eastAsia="仿宋_GB2312"/>
        </w:rPr>
        <w:t>、</w:t>
      </w:r>
      <w:r>
        <w:rPr>
          <w:rFonts w:hint="eastAsia" w:ascii="仿宋_GB2312" w:eastAsia="仿宋_GB2312"/>
        </w:rPr>
        <w:t>“双随机</w:t>
      </w:r>
      <w:r>
        <w:rPr>
          <w:rFonts w:hint="eastAsia" w:ascii="仿宋_GB2312" w:eastAsia="仿宋_GB2312"/>
          <w:lang w:eastAsia="zh-CN"/>
        </w:rPr>
        <w:t>、</w:t>
      </w:r>
      <w:bookmarkStart w:id="0" w:name="_GoBack"/>
      <w:bookmarkEnd w:id="0"/>
      <w:r>
        <w:rPr>
          <w:rFonts w:hint="eastAsia" w:ascii="仿宋_GB2312" w:eastAsia="仿宋_GB2312"/>
        </w:rPr>
        <w:t>一公开”等信息公开</w:t>
      </w:r>
      <w:r>
        <w:rPr>
          <w:rFonts w:ascii="仿宋_GB2312" w:eastAsia="仿宋_GB2312"/>
        </w:rPr>
        <w:t>。</w:t>
      </w:r>
      <w:r>
        <w:rPr>
          <w:rFonts w:hint="eastAsia" w:ascii="仿宋_GB2312" w:eastAsia="仿宋_GB2312"/>
          <w:szCs w:val="32"/>
        </w:rPr>
        <w:t>2023年通过政府网站公开政府信息80</w:t>
      </w:r>
      <w:r>
        <w:rPr>
          <w:rFonts w:hint="eastAsia" w:ascii="仿宋_GB2312" w:eastAsia="仿宋_GB2312"/>
          <w:szCs w:val="32"/>
          <w:lang w:val="en"/>
        </w:rPr>
        <w:t>条，</w:t>
      </w:r>
      <w:r>
        <w:rPr>
          <w:rFonts w:hint="eastAsia" w:ascii="仿宋_GB2312" w:eastAsia="仿宋_GB2312"/>
          <w:szCs w:val="32"/>
        </w:rPr>
        <w:t>比2022年增加21条。加大政策解读力度，通过政务新媒体发布解读材料18篇。开展政府开放日、政务公开进企业活动2次，听取群众意见建议，回应群众关注问题；办理12345热线197件，满意率95.43%；</w:t>
      </w:r>
    </w:p>
    <w:p>
      <w:pPr>
        <w:widowControl/>
        <w:jc w:val="center"/>
        <w:rPr>
          <w:rFonts w:ascii="仿宋_GB2312" w:eastAsia="仿宋_GB2312"/>
          <w:szCs w:val="32"/>
        </w:rPr>
      </w:pPr>
      <w:r>
        <w:rPr>
          <w:rFonts w:ascii="仿宋_GB2312" w:eastAsia="仿宋_GB2312"/>
          <w:szCs w:val="32"/>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rPr>
          <w:rFonts w:ascii="仿宋_GB2312" w:eastAsia="仿宋_GB2312"/>
          <w:szCs w:val="32"/>
        </w:rPr>
      </w:pPr>
      <w:r>
        <w:rPr>
          <w:rFonts w:hint="eastAsia" w:ascii="仿宋_GB2312" w:eastAsia="仿宋_GB2312"/>
          <w:szCs w:val="32"/>
        </w:rPr>
        <w:t>持续做好政府信息依申请公开受理渠道的维护管理，安排专人每天查看依申请接收情况，确保接收渠道畅通。2023年未收到政府信息公开申请，上年度结转0件。未因政府信息公开被申请行政复议、提起行政诉讼。</w:t>
      </w:r>
    </w:p>
    <w:p>
      <w:pPr>
        <w:spacing w:line="600" w:lineRule="exact"/>
        <w:jc w:val="left"/>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szCs w:val="32"/>
        </w:rPr>
      </w:pPr>
      <w:r>
        <w:rPr>
          <w:rFonts w:hint="eastAsia" w:ascii="仿宋_GB2312" w:eastAsia="仿宋_GB2312"/>
          <w:szCs w:val="32"/>
        </w:rPr>
        <w:t>及时更新主动公开基本目录，进一步明确医疗救助情况、医疗保险情况等公开时限要求。严格落实信息采集、内容审核等环节管理，严格执行政府信息公开属性源头认定机制，确保公开内容真实有效。制定信息公开保密审查制度，综合科在信息公开前逐一进行保密审查，依法保护好国家秘密和个人隐私。</w:t>
      </w:r>
    </w:p>
    <w:p>
      <w:pPr>
        <w:spacing w:line="600" w:lineRule="exact"/>
        <w:jc w:val="left"/>
        <w:rPr>
          <w:rFonts w:ascii="楷体_GB2312" w:eastAsia="楷体_GB2312"/>
        </w:rPr>
      </w:pPr>
      <w:r>
        <w:rPr>
          <w:rFonts w:hint="eastAsia" w:ascii="楷体_GB2312" w:eastAsia="楷体_GB2312"/>
        </w:rPr>
        <w:t>（四）政府信息公开平台建设</w:t>
      </w:r>
    </w:p>
    <w:p>
      <w:pPr>
        <w:spacing w:line="560" w:lineRule="exact"/>
        <w:ind w:firstLine="640" w:firstLineChars="200"/>
        <w:rPr>
          <w:rFonts w:ascii="仿宋_GB2312" w:eastAsia="仿宋_GB2312"/>
          <w:szCs w:val="32"/>
        </w:rPr>
      </w:pPr>
      <w:r>
        <w:rPr>
          <w:rFonts w:hint="eastAsia" w:ascii="仿宋_GB2312" w:eastAsia="仿宋_GB2312"/>
          <w:szCs w:val="32"/>
        </w:rPr>
        <w:t>维护更新政务公开栏目，在“社会保险”目录中新设“医疗保险”目录，并将原有医疗保险信息迁移到新目录。“医保服务”目录下新设“定点医院及药店”“医保药品目录”和“诊疗项目目录”3个目录，方便群众搜索查阅相关公开内容。在以政府网站作为信息公开第一平台的同时，借助市直管理优势，通过齐鲁日报、市医疗保障局微信公众号等辅助平台，及时发布业务信息、政策文件等，扩大发布信息的受众面。</w:t>
      </w:r>
    </w:p>
    <w:p>
      <w:pPr>
        <w:spacing w:line="560" w:lineRule="exact"/>
        <w:ind w:firstLine="640" w:firstLineChars="200"/>
        <w:rPr>
          <w:rFonts w:ascii="楷体_GB2312" w:eastAsia="楷体_GB2312"/>
        </w:rPr>
      </w:pPr>
      <w:r>
        <w:rPr>
          <w:rFonts w:hint="eastAsia" w:ascii="楷体_GB2312" w:eastAsia="楷体_GB2312"/>
        </w:rPr>
        <w:t>（五）监督保障</w:t>
      </w:r>
    </w:p>
    <w:p>
      <w:pPr>
        <w:spacing w:line="560" w:lineRule="exact"/>
        <w:ind w:firstLine="640" w:firstLineChars="200"/>
        <w:rPr>
          <w:rFonts w:ascii="仿宋_GB2312" w:eastAsia="仿宋_GB2312"/>
        </w:rPr>
      </w:pPr>
      <w:r>
        <w:rPr>
          <w:rFonts w:hint="eastAsia" w:ascii="仿宋_GB2312" w:eastAsia="仿宋_GB2312"/>
        </w:rPr>
        <w:t>政务公开领导小组召开会议研究政务公开工作情况1次，办公室配备专职人员1名，负责政务公开的统筹协调工作，督促落实领导小组议定事项，承办领导小组交办的其他事项。开展政务公开培训会2次，对《中华人民共和国政府信息公开条例》及年度政务公开重点工作进行了培训。</w:t>
      </w:r>
    </w:p>
    <w:p>
      <w:pPr>
        <w:spacing w:after="156" w:afterLines="50" w:line="240" w:lineRule="auto"/>
        <w:ind w:firstLine="0"/>
        <w:rPr>
          <w:rFonts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r>
    </w:tbl>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ascii="仿宋_GB2312" w:eastAsia="仿宋_GB2312"/>
          <w:szCs w:val="32"/>
        </w:rPr>
      </w:pPr>
      <w:r>
        <w:rPr>
          <w:rFonts w:ascii="仿宋_GB2312" w:eastAsia="仿宋_GB2312"/>
          <w:szCs w:val="32"/>
        </w:rPr>
        <w:t>一是信息更新还不够及时。相关业务</w:t>
      </w:r>
      <w:r>
        <w:rPr>
          <w:rFonts w:hint="eastAsia" w:ascii="仿宋_GB2312" w:eastAsia="仿宋_GB2312"/>
          <w:szCs w:val="32"/>
        </w:rPr>
        <w:t>科室</w:t>
      </w:r>
      <w:r>
        <w:rPr>
          <w:rFonts w:ascii="仿宋_GB2312" w:eastAsia="仿宋_GB2312"/>
          <w:szCs w:val="32"/>
        </w:rPr>
        <w:t>工作人员公开意识有待进一步提高，主动公开政府信息的责任意识还比较薄弱。</w:t>
      </w:r>
      <w:r>
        <w:rPr>
          <w:rFonts w:hint="eastAsia" w:ascii="仿宋_GB2312" w:eastAsia="仿宋_GB2312"/>
          <w:szCs w:val="32"/>
        </w:rPr>
        <w:t>如“医疗保险</w:t>
      </w:r>
      <w:r>
        <w:rPr>
          <w:rFonts w:ascii="仿宋_GB2312" w:eastAsia="仿宋_GB2312"/>
          <w:szCs w:val="32"/>
        </w:rPr>
        <w:t>”</w:t>
      </w:r>
      <w:r>
        <w:rPr>
          <w:rFonts w:hint="eastAsia" w:ascii="仿宋_GB2312" w:eastAsia="仿宋_GB2312"/>
          <w:szCs w:val="32"/>
        </w:rPr>
        <w:t>中的每季度保险情况，由于统计报表信息整理等原因，有时公开不及时。</w:t>
      </w:r>
    </w:p>
    <w:p>
      <w:pPr>
        <w:spacing w:line="560" w:lineRule="exact"/>
        <w:ind w:firstLine="640" w:firstLineChars="200"/>
        <w:rPr>
          <w:rFonts w:ascii="仿宋_GB2312" w:eastAsia="仿宋_GB2312"/>
          <w:szCs w:val="32"/>
        </w:rPr>
      </w:pPr>
      <w:r>
        <w:rPr>
          <w:rFonts w:hint="eastAsia" w:ascii="仿宋_GB2312" w:eastAsia="仿宋_GB2312"/>
          <w:szCs w:val="32"/>
        </w:rPr>
        <w:t>二是</w:t>
      </w:r>
      <w:r>
        <w:rPr>
          <w:rFonts w:ascii="仿宋_GB2312" w:eastAsia="仿宋_GB2312"/>
          <w:szCs w:val="32"/>
        </w:rPr>
        <w:t>公开质量有待提高</w:t>
      </w:r>
      <w:r>
        <w:rPr>
          <w:rFonts w:hint="eastAsia" w:ascii="仿宋_GB2312" w:eastAsia="仿宋_GB2312"/>
          <w:szCs w:val="32"/>
        </w:rPr>
        <w:t>。部分科室对公开内容质量把关不严，导致退回重改的现象时有发生，影响了政务公开工作的开展。</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（二）改进情况</w:t>
      </w:r>
    </w:p>
    <w:p>
      <w:pPr>
        <w:spacing w:line="560" w:lineRule="exact"/>
        <w:ind w:firstLine="640" w:firstLineChars="200"/>
        <w:rPr>
          <w:rFonts w:ascii="仿宋_GB2312" w:eastAsia="仿宋_GB2312"/>
          <w:szCs w:val="32"/>
        </w:rPr>
      </w:pPr>
      <w:r>
        <w:rPr>
          <w:rFonts w:hint="eastAsia" w:ascii="仿宋_GB2312" w:eastAsia="仿宋_GB2312"/>
          <w:szCs w:val="32"/>
        </w:rPr>
        <w:t>一是年初调整政务公开工作领导小组，制定公开任务清单，明确各科室需政务公开的内容、公开时限和相关职责，并由办公室政务公开工作人员提醒并督导各科室按时发布公开信息，确保信息及时更新。</w:t>
      </w:r>
    </w:p>
    <w:p>
      <w:pPr>
        <w:spacing w:line="560" w:lineRule="exact"/>
        <w:ind w:firstLine="640" w:firstLineChars="200"/>
        <w:rPr>
          <w:rFonts w:ascii="仿宋_GB2312" w:eastAsia="仿宋_GB2312"/>
          <w:szCs w:val="32"/>
        </w:rPr>
      </w:pPr>
      <w:r>
        <w:rPr>
          <w:rFonts w:hint="eastAsia" w:ascii="仿宋_GB2312" w:eastAsia="仿宋_GB2312"/>
          <w:szCs w:val="32"/>
        </w:rPr>
        <w:t>二是开展政务公开培训，开展政务公开培训2次，通过案例分析的形式对政务公开内容要求进行了详细解读，提高了各科室公开信息质量。</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ind w:firstLine="640" w:firstLineChars="200"/>
        <w:jc w:val="left"/>
        <w:rPr>
          <w:rFonts w:ascii="楷体_GB2312" w:hAnsi="黑体" w:eastAsia="楷体_GB2312"/>
          <w:szCs w:val="32"/>
        </w:rPr>
      </w:pPr>
      <w:r>
        <w:rPr>
          <w:rFonts w:hint="eastAsia" w:ascii="楷体_GB2312" w:hAnsi="黑体" w:eastAsia="楷体_GB2312"/>
          <w:szCs w:val="32"/>
        </w:rPr>
        <w:t>（一）政府信息公开信息处理费收取情况</w:t>
      </w:r>
    </w:p>
    <w:p>
      <w:pPr>
        <w:ind w:firstLine="640" w:firstLineChars="200"/>
        <w:jc w:val="left"/>
        <w:rPr>
          <w:rFonts w:ascii="仿宋_GB2312" w:eastAsia="仿宋_GB2312"/>
          <w:szCs w:val="32"/>
        </w:rPr>
      </w:pPr>
      <w:r>
        <w:rPr>
          <w:rFonts w:hint="eastAsia" w:ascii="仿宋_GB2312"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ind w:firstLine="640" w:firstLineChars="200"/>
        <w:jc w:val="left"/>
        <w:rPr>
          <w:rFonts w:ascii="楷体_GB2312" w:hAnsi="黑体" w:eastAsia="楷体_GB2312"/>
          <w:szCs w:val="32"/>
        </w:rPr>
      </w:pPr>
      <w:r>
        <w:rPr>
          <w:rFonts w:hint="eastAsia" w:ascii="楷体_GB2312" w:hAnsi="黑体" w:eastAsia="楷体_GB2312"/>
          <w:szCs w:val="32"/>
        </w:rPr>
        <w:t>（二）落实上级年度政务公开工作要点情况</w:t>
      </w:r>
    </w:p>
    <w:p>
      <w:pPr>
        <w:widowControl/>
        <w:jc w:val="left"/>
        <w:rPr>
          <w:rFonts w:ascii="楷体_GB2312" w:hAnsi="黑体" w:eastAsia="楷体_GB2312"/>
          <w:szCs w:val="32"/>
        </w:rPr>
      </w:pPr>
      <w:r>
        <w:rPr>
          <w:rFonts w:hint="eastAsia" w:ascii="仿宋_GB2312" w:eastAsia="仿宋_GB2312"/>
          <w:szCs w:val="32"/>
        </w:rPr>
        <w:t>根据《2023年山东省政务公开工作要点》《2023年淄博市政务公开工作方案》《2023年高青县政务公开工作方案》，制定了《淄博市医疗保障局高青分局2023年政务公开工作方案》，明确了重点任务、工作标准和完成时限。一是深化信息公开内容。结合高青医保分局工作实际，及时公开医疗救助、医疗保险收支情况、定点医疗机构等相关信息，并对信息公开质量严格把关，确保内容准确无误。针对群众关心的新增定点医疗机构情况，积极完善和更新各定点医疗机构信息。二是扩展公开渠道。</w:t>
      </w:r>
      <w:r>
        <w:rPr>
          <w:rFonts w:ascii="仿宋_GB2312" w:eastAsia="仿宋_GB2312"/>
          <w:szCs w:val="32"/>
        </w:rPr>
        <w:t>以利民、便民为中心，着力创新政府信息公开形式，除重点依靠高青县人民政府门户网站主动公开信息外，在</w:t>
      </w:r>
      <w:r>
        <w:rPr>
          <w:rFonts w:hint="eastAsia" w:ascii="仿宋_GB2312" w:eastAsia="仿宋_GB2312"/>
          <w:szCs w:val="32"/>
        </w:rPr>
        <w:t>“最高青”、定点医疗机构滚动宣传屏</w:t>
      </w:r>
      <w:r>
        <w:rPr>
          <w:rFonts w:ascii="仿宋_GB2312" w:eastAsia="仿宋_GB2312"/>
          <w:szCs w:val="32"/>
        </w:rPr>
        <w:t>发布</w:t>
      </w:r>
      <w:r>
        <w:rPr>
          <w:rFonts w:hint="eastAsia" w:ascii="仿宋_GB2312" w:eastAsia="仿宋_GB2312"/>
          <w:szCs w:val="32"/>
        </w:rPr>
        <w:t>、公示医疗保障参保信息、医疗保险政策。开展医保政策“两进”活动，进机关、进企业、进学校、进社区、进村居、进定点医疗机构，面对面进行“订单式”</w:t>
      </w:r>
      <w:r>
        <w:rPr>
          <w:rFonts w:ascii="仿宋_GB2312" w:eastAsia="仿宋_GB2312"/>
          <w:szCs w:val="32"/>
        </w:rPr>
        <w:t>政策宣讲，</w:t>
      </w:r>
      <w:r>
        <w:rPr>
          <w:rFonts w:hint="eastAsia" w:ascii="仿宋_GB2312" w:eastAsia="仿宋_GB2312"/>
          <w:szCs w:val="32"/>
        </w:rPr>
        <w:t>让医保政策真正走进千家万户</w:t>
      </w:r>
      <w:r>
        <w:rPr>
          <w:rFonts w:ascii="仿宋_GB2312" w:eastAsia="仿宋_GB2312"/>
          <w:szCs w:val="32"/>
        </w:rPr>
        <w:t>。</w:t>
      </w:r>
    </w:p>
    <w:p>
      <w:pPr>
        <w:ind w:firstLine="640" w:firstLineChars="200"/>
        <w:jc w:val="left"/>
        <w:rPr>
          <w:rFonts w:ascii="楷体_GB2312" w:hAnsi="黑体" w:eastAsia="楷体_GB2312"/>
          <w:szCs w:val="32"/>
        </w:rPr>
      </w:pPr>
      <w:r>
        <w:rPr>
          <w:rFonts w:hint="eastAsia" w:ascii="楷体_GB2312" w:hAnsi="黑体" w:eastAsia="楷体_GB2312"/>
          <w:szCs w:val="32"/>
        </w:rPr>
        <w:t>（三）人大代表建议和政协提案办理结果公开情况</w:t>
      </w:r>
    </w:p>
    <w:p>
      <w:pPr>
        <w:spacing w:line="560" w:lineRule="exact"/>
        <w:ind w:firstLine="640" w:firstLineChars="200"/>
        <w:rPr>
          <w:rFonts w:eastAsia="仿宋_GB2312" w:cs="仿宋_GB2312"/>
          <w:szCs w:val="32"/>
        </w:rPr>
      </w:pPr>
      <w:r>
        <w:rPr>
          <w:rFonts w:hint="eastAsia" w:ascii="仿宋_GB2312" w:eastAsia="仿宋_GB2312"/>
          <w:szCs w:val="32"/>
        </w:rPr>
        <w:t>2023年未承办县十八届人大二次会议建议，承办县政协十五届二次会议提案1件，办复率为100%。政协</w:t>
      </w:r>
      <w:r>
        <w:rPr>
          <w:rFonts w:hint="eastAsia" w:eastAsia="仿宋_GB2312" w:cs="仿宋_GB2312"/>
          <w:szCs w:val="32"/>
        </w:rPr>
        <w:t>提案办理复文以及办理总体情况在县政府门户网站</w:t>
      </w:r>
      <w:r>
        <w:rPr>
          <w:rFonts w:hint="eastAsia" w:ascii="仿宋_GB2312" w:eastAsia="仿宋_GB2312"/>
          <w:szCs w:val="32"/>
        </w:rPr>
        <w:t>建议提案办理专题</w:t>
      </w:r>
      <w:r>
        <w:rPr>
          <w:rFonts w:hint="eastAsia" w:eastAsia="仿宋_GB2312" w:cs="仿宋_GB2312"/>
          <w:szCs w:val="32"/>
        </w:rPr>
        <w:t>中予以公开。</w:t>
      </w:r>
    </w:p>
    <w:p>
      <w:pPr>
        <w:ind w:firstLine="640" w:firstLineChars="200"/>
        <w:jc w:val="left"/>
        <w:rPr>
          <w:rFonts w:ascii="楷体_GB2312" w:hAnsi="黑体" w:eastAsia="楷体_GB2312"/>
          <w:szCs w:val="32"/>
        </w:rPr>
      </w:pPr>
      <w:r>
        <w:rPr>
          <w:rFonts w:hint="eastAsia" w:ascii="楷体_GB2312" w:hAnsi="黑体" w:eastAsia="楷体_GB2312"/>
          <w:szCs w:val="32"/>
        </w:rPr>
        <w:t>（四）政务公开工作创新情况</w:t>
      </w:r>
    </w:p>
    <w:p>
      <w:pPr>
        <w:widowControl/>
        <w:jc w:val="left"/>
        <w:rPr>
          <w:rFonts w:ascii="仿宋_GB2312" w:eastAsia="仿宋_GB2312"/>
          <w:szCs w:val="32"/>
        </w:rPr>
      </w:pPr>
      <w:r>
        <w:rPr>
          <w:rFonts w:hint="eastAsia" w:ascii="仿宋_GB2312" w:eastAsia="仿宋_GB2312"/>
          <w:szCs w:val="32"/>
        </w:rPr>
        <w:t>打造“政务公开+医保”新模式。一是政务公开+政策宣传，</w:t>
      </w:r>
      <w:r>
        <w:rPr>
          <w:rFonts w:ascii="仿宋_GB2312" w:eastAsia="仿宋_GB2312"/>
          <w:szCs w:val="32"/>
        </w:rPr>
        <w:t>及时公开医保政策法规、最新工作动态及业务信息，并结合群众实际需求，精心制作原创医保视频小课堂，“接地气”宣传解读好医保经办流程，确保办事群众看得明、听得懂、用得上，</w:t>
      </w:r>
      <w:r>
        <w:rPr>
          <w:rFonts w:hint="eastAsia" w:ascii="仿宋_GB2312" w:eastAsia="仿宋_GB2312"/>
          <w:szCs w:val="32"/>
        </w:rPr>
        <w:t>2023年</w:t>
      </w:r>
      <w:r>
        <w:rPr>
          <w:rFonts w:ascii="仿宋_GB2312" w:eastAsia="仿宋_GB2312"/>
          <w:szCs w:val="32"/>
        </w:rPr>
        <w:t>累计公开各类信息</w:t>
      </w:r>
      <w:r>
        <w:rPr>
          <w:rFonts w:hint="eastAsia" w:ascii="仿宋_GB2312" w:eastAsia="仿宋_GB2312"/>
          <w:szCs w:val="32"/>
        </w:rPr>
        <w:t>400</w:t>
      </w:r>
      <w:r>
        <w:rPr>
          <w:rFonts w:ascii="仿宋_GB2312" w:eastAsia="仿宋_GB2312"/>
          <w:szCs w:val="32"/>
        </w:rPr>
        <w:t>余条</w:t>
      </w:r>
      <w:r>
        <w:rPr>
          <w:rFonts w:hint="eastAsia" w:ascii="仿宋_GB2312" w:eastAsia="仿宋_GB2312"/>
          <w:szCs w:val="32"/>
        </w:rPr>
        <w:t>。二是政务公开+基金监管，开展医</w:t>
      </w:r>
      <w:r>
        <w:rPr>
          <w:rFonts w:ascii="仿宋_GB2312" w:eastAsia="仿宋_GB2312"/>
          <w:szCs w:val="32"/>
        </w:rPr>
        <w:t>保基金监管集中</w:t>
      </w:r>
      <w:r>
        <w:rPr>
          <w:rFonts w:hint="eastAsia" w:ascii="仿宋_GB2312" w:eastAsia="仿宋_GB2312"/>
          <w:szCs w:val="32"/>
        </w:rPr>
        <w:t>宣传</w:t>
      </w:r>
      <w:r>
        <w:rPr>
          <w:rFonts w:ascii="仿宋_GB2312" w:eastAsia="仿宋_GB2312"/>
          <w:szCs w:val="32"/>
        </w:rPr>
        <w:t>月</w:t>
      </w:r>
      <w:r>
        <w:rPr>
          <w:rFonts w:hint="eastAsia" w:ascii="仿宋_GB2312" w:eastAsia="仿宋_GB2312"/>
          <w:szCs w:val="32"/>
        </w:rPr>
        <w:t>活动，</w:t>
      </w:r>
      <w:r>
        <w:rPr>
          <w:rFonts w:ascii="仿宋_GB2312" w:eastAsia="仿宋_GB2312"/>
          <w:szCs w:val="32"/>
        </w:rPr>
        <w:t>邀请</w:t>
      </w:r>
      <w:r>
        <w:rPr>
          <w:rFonts w:hint="eastAsia" w:ascii="仿宋_GB2312" w:eastAsia="仿宋_GB2312"/>
          <w:szCs w:val="32"/>
        </w:rPr>
        <w:t>居民群众</w:t>
      </w:r>
      <w:r>
        <w:rPr>
          <w:rFonts w:ascii="仿宋_GB2312" w:eastAsia="仿宋_GB2312"/>
          <w:szCs w:val="32"/>
        </w:rPr>
        <w:t>代表观看启动仪式</w:t>
      </w:r>
      <w:r>
        <w:rPr>
          <w:rFonts w:hint="eastAsia" w:ascii="仿宋_GB2312" w:eastAsia="仿宋_GB2312"/>
          <w:szCs w:val="32"/>
        </w:rPr>
        <w:t>。制作基金监管小视频，在各类媒体平台、微信公众号、朋友圈等渠道广泛发布，号召广大居民朋友共筑筑基金监管安全环境。三是政务公开+医保服务，按照“管业务必须管公开”原则，将医保业务人员与政务公开人员“两员合一”，业务流程与公开流程同步进行，保障了公开工作及时有效。</w:t>
      </w:r>
    </w:p>
    <w:p>
      <w:pPr>
        <w:ind w:firstLine="640" w:firstLineChars="200"/>
        <w:jc w:val="left"/>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pPr>
        <w:spacing w:line="560" w:lineRule="exact"/>
        <w:ind w:firstLine="640" w:firstLineChars="200"/>
        <w:rPr>
          <w:rFonts w:ascii="楷体_GB2312" w:hAnsi="黑体" w:eastAsia="楷体_GB2312"/>
          <w:szCs w:val="32"/>
        </w:rPr>
      </w:pPr>
      <w:r>
        <w:rPr>
          <w:rFonts w:hint="eastAsia" w:ascii="仿宋_GB2312" w:eastAsia="仿宋_GB231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110130"/>
    <w:rsid w:val="00117733"/>
    <w:rsid w:val="00121DCF"/>
    <w:rsid w:val="001701D7"/>
    <w:rsid w:val="001B6573"/>
    <w:rsid w:val="00210F4D"/>
    <w:rsid w:val="00211942"/>
    <w:rsid w:val="002133C7"/>
    <w:rsid w:val="00287D76"/>
    <w:rsid w:val="002961F2"/>
    <w:rsid w:val="002E3543"/>
    <w:rsid w:val="00307257"/>
    <w:rsid w:val="003B5255"/>
    <w:rsid w:val="003D6FCB"/>
    <w:rsid w:val="003E75A6"/>
    <w:rsid w:val="00415AB1"/>
    <w:rsid w:val="004622F8"/>
    <w:rsid w:val="00491F54"/>
    <w:rsid w:val="004C1750"/>
    <w:rsid w:val="004D241E"/>
    <w:rsid w:val="00515DB1"/>
    <w:rsid w:val="00517445"/>
    <w:rsid w:val="00523855"/>
    <w:rsid w:val="005422B3"/>
    <w:rsid w:val="00591E5D"/>
    <w:rsid w:val="0059733C"/>
    <w:rsid w:val="005C0F41"/>
    <w:rsid w:val="0065765D"/>
    <w:rsid w:val="00673AC7"/>
    <w:rsid w:val="006947A5"/>
    <w:rsid w:val="00704FCD"/>
    <w:rsid w:val="007372DD"/>
    <w:rsid w:val="0074656D"/>
    <w:rsid w:val="00812811"/>
    <w:rsid w:val="008C4ED2"/>
    <w:rsid w:val="00902D84"/>
    <w:rsid w:val="00915D0B"/>
    <w:rsid w:val="009A32FE"/>
    <w:rsid w:val="009B028C"/>
    <w:rsid w:val="00BA3948"/>
    <w:rsid w:val="00C542CC"/>
    <w:rsid w:val="00C67940"/>
    <w:rsid w:val="00C73BD0"/>
    <w:rsid w:val="00CC2BE7"/>
    <w:rsid w:val="00CC521B"/>
    <w:rsid w:val="00CD1D00"/>
    <w:rsid w:val="00E60B5D"/>
    <w:rsid w:val="00EA0721"/>
    <w:rsid w:val="00EF5607"/>
    <w:rsid w:val="00FA216A"/>
    <w:rsid w:val="00FD5381"/>
    <w:rsid w:val="00FF7500"/>
    <w:rsid w:val="3F6FDA1A"/>
    <w:rsid w:val="4A796E6B"/>
    <w:rsid w:val="53FF9340"/>
    <w:rsid w:val="5BF44F8B"/>
    <w:rsid w:val="699F850A"/>
    <w:rsid w:val="7BFC8BC4"/>
    <w:rsid w:val="9DFF7CCD"/>
    <w:rsid w:val="BBF934EC"/>
    <w:rsid w:val="C5EFFC45"/>
    <w:rsid w:val="E7FFBD77"/>
    <w:rsid w:val="FEDF9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pPr>
      <w:spacing w:line="240" w:lineRule="auto"/>
    </w:pPr>
    <w:rPr>
      <w:sz w:val="18"/>
      <w:szCs w:val="18"/>
    </w:rPr>
  </w:style>
  <w:style w:type="paragraph" w:styleId="3">
    <w:name w:val="footer"/>
    <w:basedOn w:val="1"/>
    <w:link w:val="10"/>
    <w:autoRedefine/>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autoRedefine/>
    <w:semiHidden/>
    <w:unhideWhenUsed/>
    <w:qFormat/>
    <w:uiPriority w:val="99"/>
    <w:pPr>
      <w:spacing w:beforeAutospacing="1" w:afterAutospacing="1"/>
      <w:jc w:val="left"/>
    </w:pPr>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autoRedefine/>
    <w:qFormat/>
    <w:uiPriority w:val="99"/>
    <w:rPr>
      <w:rFonts w:ascii="Times New Roman" w:hAnsi="Times New Roman" w:eastAsia="方正仿宋_GBK" w:cs="Times New Roman"/>
      <w:snapToGrid w:val="0"/>
      <w:kern w:val="0"/>
      <w:sz w:val="18"/>
      <w:szCs w:val="18"/>
    </w:rPr>
  </w:style>
  <w:style w:type="character" w:customStyle="1" w:styleId="10">
    <w:name w:val="页脚 Char"/>
    <w:basedOn w:val="8"/>
    <w:link w:val="3"/>
    <w:autoRedefine/>
    <w:qFormat/>
    <w:uiPriority w:val="99"/>
    <w:rPr>
      <w:rFonts w:ascii="Times New Roman" w:hAnsi="Times New Roman" w:eastAsia="方正仿宋_GBK" w:cs="Times New Roman"/>
      <w:snapToGrid w:val="0"/>
      <w:kern w:val="0"/>
      <w:sz w:val="18"/>
      <w:szCs w:val="18"/>
    </w:rPr>
  </w:style>
  <w:style w:type="character" w:customStyle="1" w:styleId="11">
    <w:name w:val="批注框文本 Char"/>
    <w:basedOn w:val="8"/>
    <w:link w:val="2"/>
    <w:autoRedefine/>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主要公开事项</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公开数量</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重要部署执行</c:v>
                </c:pt>
                <c:pt idx="1">
                  <c:v>建议提案办理</c:v>
                </c:pt>
                <c:pt idx="2">
                  <c:v>行政执法公示</c:v>
                </c:pt>
                <c:pt idx="3">
                  <c:v>医疗救助</c:v>
                </c:pt>
                <c:pt idx="4">
                  <c:v>医疗保险</c:v>
                </c:pt>
                <c:pt idx="5">
                  <c:v>双随机一公开</c:v>
                </c:pt>
              </c:strCache>
            </c:strRef>
          </c:cat>
          <c:val>
            <c:numRef>
              <c:f>Sheet1!$B$2:$B$7</c:f>
              <c:numCache>
                <c:formatCode>General</c:formatCode>
                <c:ptCount val="6"/>
                <c:pt idx="0">
                  <c:v>8</c:v>
                </c:pt>
                <c:pt idx="1">
                  <c:v>4</c:v>
                </c:pt>
                <c:pt idx="2">
                  <c:v>8</c:v>
                </c:pt>
                <c:pt idx="3">
                  <c:v>12</c:v>
                </c:pt>
                <c:pt idx="4">
                  <c:v>12</c:v>
                </c:pt>
                <c:pt idx="5">
                  <c:v>5</c:v>
                </c:pt>
              </c:numCache>
            </c:numRef>
          </c:val>
        </c:ser>
        <c:dLbls>
          <c:showLegendKey val="0"/>
          <c:showVal val="1"/>
          <c:showCatName val="0"/>
          <c:showSerName val="0"/>
          <c:showPercent val="0"/>
          <c:showBubbleSize val="0"/>
        </c:dLbls>
        <c:gapWidth val="219"/>
        <c:overlap val="-27"/>
        <c:axId val="229690368"/>
        <c:axId val="235607168"/>
      </c:barChart>
      <c:catAx>
        <c:axId val="2296903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607168"/>
        <c:crosses val="autoZero"/>
        <c:auto val="1"/>
        <c:lblAlgn val="ctr"/>
        <c:lblOffset val="100"/>
        <c:noMultiLvlLbl val="0"/>
      </c:catAx>
      <c:valAx>
        <c:axId val="2356071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96903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611</Words>
  <Characters>3488</Characters>
  <Lines>29</Lines>
  <Paragraphs>8</Paragraphs>
  <TotalTime>68</TotalTime>
  <ScaleCrop>false</ScaleCrop>
  <LinksUpToDate>false</LinksUpToDate>
  <CharactersWithSpaces>4091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2022-01-02T09:04:00Z</dcterms:created>
  <dc:creator>lb</dc:creator>
  <cp:lastModifiedBy>Administrator</cp:lastModifiedBy>
  <dcterms:modified xsi:type="dcterms:W3CDTF">2024-03-14T07:38:57Z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31BB3666CEBC4AA3AD0F90BAD2278F56_12</vt:lpwstr>
  </property>
</Properties>
</file>