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jc w:val="center"/>
        <w:rPr>
          <w:rFonts w:ascii="方正小标宋简体" w:eastAsia="方正小标宋简体"/>
          <w:sz w:val="44"/>
          <w:szCs w:val="44"/>
        </w:rPr>
      </w:pPr>
      <w:r>
        <w:rPr>
          <w:rFonts w:hint="eastAsia" w:ascii="方正小标宋简体" w:eastAsia="方正小标宋简体"/>
          <w:sz w:val="44"/>
          <w:szCs w:val="44"/>
        </w:rPr>
        <w:t>淄博市医疗保障局高青分局</w:t>
      </w:r>
    </w:p>
    <w:p>
      <w:pPr>
        <w:spacing w:line="560" w:lineRule="exact"/>
        <w:ind w:firstLine="0"/>
        <w:jc w:val="center"/>
        <w:rPr>
          <w:rFonts w:ascii="方正小标宋简体" w:eastAsia="方正小标宋简体"/>
          <w:sz w:val="44"/>
          <w:szCs w:val="44"/>
        </w:rPr>
      </w:pPr>
      <w:r>
        <w:rPr>
          <w:rFonts w:hint="eastAsia" w:ascii="方正小标宋简体" w:eastAsia="方正小标宋简体"/>
          <w:sz w:val="44"/>
          <w:szCs w:val="44"/>
        </w:rPr>
        <w:t>2021年政府信息公开工作年度报告</w:t>
      </w: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ascii="仿宋_GB2312" w:hAnsi="黑体" w:eastAsia="仿宋_GB2312"/>
        </w:rPr>
      </w:pPr>
      <w:r>
        <w:rPr>
          <w:rFonts w:hint="eastAsia" w:ascii="仿宋_GB2312" w:eastAsia="仿宋_GB2312"/>
        </w:rPr>
        <w:t>报告中所列数据统计期限自2021年1月1日始，至2021年12月31日止。报告电子版可在高青县人民政府门户网站（www.gaoqing.gov.cn）查阅和下载。如对报告内容有疑问，请与淄博市医疗保障局高青分局办公室联系（地址：山东省淄博市高青县清河路7号；邮编：256300；电话：0533-6968175）。</w:t>
      </w:r>
    </w:p>
    <w:p>
      <w:pPr>
        <w:spacing w:line="560" w:lineRule="exact"/>
        <w:ind w:firstLine="640" w:firstLineChars="200"/>
      </w:pPr>
      <w:r>
        <w:rPr>
          <w:rFonts w:hint="eastAsia" w:ascii="黑体" w:hAnsi="黑体" w:eastAsia="黑体"/>
          <w:szCs w:val="32"/>
        </w:rPr>
        <w:t>一、总体情况</w:t>
      </w:r>
    </w:p>
    <w:p>
      <w:pPr>
        <w:spacing w:line="560" w:lineRule="exact"/>
        <w:jc w:val="left"/>
        <w:rPr>
          <w:rFonts w:ascii="楷体_GB2312" w:eastAsia="楷体_GB2312"/>
        </w:rPr>
      </w:pPr>
      <w:r>
        <w:rPr>
          <w:rFonts w:hint="eastAsia" w:ascii="楷体_GB2312" w:eastAsia="楷体_GB2312"/>
        </w:rPr>
        <w:t>（一）主动公开</w:t>
      </w:r>
    </w:p>
    <w:p>
      <w:pPr>
        <w:autoSpaceDN/>
        <w:snapToGrid/>
        <w:spacing w:line="560" w:lineRule="exact"/>
        <w:ind w:firstLine="640" w:firstLineChars="200"/>
        <w:rPr>
          <w:rFonts w:ascii="仿宋_GB2312" w:eastAsia="仿宋_GB2312"/>
          <w:szCs w:val="32"/>
        </w:rPr>
      </w:pPr>
      <w:r>
        <w:rPr>
          <w:rFonts w:hint="eastAsia" w:ascii="仿宋_GB2312" w:eastAsia="仿宋_GB2312"/>
          <w:szCs w:val="32"/>
        </w:rPr>
        <w:t>制定《淄博市医疗保障局高青分局政务公开保障制度》，对医疗救助等信息公开进行规范管理，要求每季度组织召开政务公开工作会议，建立健全了工作机制，为做好政府信息公开工作提供了组织保障。起草文件时坚持政策文件与解读材料同步组织、同步审签、同步部署。2021年，全面公开机构职能，包括法定职责、领导分工、内设机构、所属事业单位等相关信息；公开政策文件信息2条；重要部署执行信息6条；行政执法公示8条；医疗救助信息9条；社会保险信息9条，以上信息根据变化和更新及时上传。</w:t>
      </w:r>
    </w:p>
    <w:p>
      <w:pPr>
        <w:autoSpaceDN/>
        <w:snapToGrid/>
        <w:spacing w:line="240" w:lineRule="auto"/>
        <w:ind w:firstLine="0"/>
      </w:pPr>
      <w:r>
        <w:rPr>
          <w:rFonts w:hint="eastAsia"/>
        </w:rPr>
        <w:drawing>
          <wp:inline distT="0" distB="0" distL="0" distR="0">
            <wp:extent cx="5273675" cy="3707765"/>
            <wp:effectExtent l="0" t="0" r="3175" b="6985"/>
            <wp:docPr id="1" name="图片 1" descr="微信截图_2022011917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201191723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000" cy="3708000"/>
                    </a:xfrm>
                    <a:prstGeom prst="rect">
                      <a:avLst/>
                    </a:prstGeom>
                  </pic:spPr>
                </pic:pic>
              </a:graphicData>
            </a:graphic>
          </wp:inline>
        </w:drawing>
      </w:r>
    </w:p>
    <w:p>
      <w:pPr>
        <w:spacing w:line="560" w:lineRule="exact"/>
        <w:jc w:val="left"/>
        <w:rPr>
          <w:rFonts w:hint="eastAsia" w:ascii="楷体_GB2312" w:eastAsia="楷体_GB2312"/>
        </w:rPr>
      </w:pPr>
      <w:r>
        <w:rPr>
          <w:rFonts w:hint="eastAsia" w:ascii="楷体_GB2312" w:eastAsia="楷体_GB2312"/>
        </w:rPr>
        <w:t>（二）依申请公开</w:t>
      </w:r>
    </w:p>
    <w:p>
      <w:pPr>
        <w:spacing w:line="560" w:lineRule="exact"/>
        <w:ind w:firstLine="640" w:firstLineChars="200"/>
      </w:pPr>
      <w:r>
        <w:rPr>
          <w:rFonts w:hint="eastAsia" w:ascii="仿宋_GB2312" w:eastAsia="仿宋_GB2312"/>
          <w:szCs w:val="32"/>
        </w:rPr>
        <w:t>2021年未收到政府信息公开申请，上年度未结转政府信息公开申请，未因政府信息公开被申请行政复议、提起行政诉讼。</w:t>
      </w:r>
    </w:p>
    <w:p>
      <w:pPr>
        <w:numPr>
          <w:ilvl w:val="0"/>
          <w:numId w:val="1"/>
        </w:numPr>
        <w:spacing w:line="560" w:lineRule="exact"/>
        <w:jc w:val="left"/>
        <w:rPr>
          <w:rFonts w:ascii="楷体_GB2312" w:eastAsia="楷体_GB2312"/>
        </w:rPr>
      </w:pPr>
      <w:r>
        <w:rPr>
          <w:rFonts w:hint="eastAsia" w:ascii="楷体_GB2312" w:eastAsia="楷体_GB2312"/>
        </w:rPr>
        <w:t>政府信息管理</w:t>
      </w:r>
    </w:p>
    <w:p>
      <w:pPr>
        <w:spacing w:line="560" w:lineRule="exact"/>
        <w:rPr>
          <w:rFonts w:ascii="仿宋_GB2312" w:eastAsia="仿宋_GB2312"/>
          <w:szCs w:val="32"/>
        </w:rPr>
      </w:pPr>
      <w:r>
        <w:rPr>
          <w:rFonts w:hint="eastAsia" w:ascii="仿宋_GB2312" w:eastAsia="仿宋_GB2312"/>
          <w:szCs w:val="32"/>
        </w:rPr>
        <w:t>进一步规范和加强政府门户网站的信息发布管理，确保发布信息的安全、准确、及时，保证信息内容的真实性、完整性、准确性、安全性。严格遵循“谁主管，谁审批，谁负责”的审核原则，所有的发布信息必须由分管领导审查，经主要负责人同意后才可发布。严格执行安全保密制度，不得发布违反国家法律和国家机密文件，确保政府信息规范管理。完善政府信息动态调整机制，对本单位之前出台的文件进行梳理，及时清理已经失效的文件，及时更新发布内容。</w:t>
      </w:r>
    </w:p>
    <w:p>
      <w:pPr>
        <w:spacing w:line="560" w:lineRule="exact"/>
        <w:jc w:val="left"/>
        <w:rPr>
          <w:rFonts w:ascii="楷体_GB2312" w:eastAsia="楷体_GB2312"/>
        </w:rPr>
      </w:pPr>
      <w:r>
        <w:rPr>
          <w:rFonts w:hint="eastAsia" w:ascii="楷体_GB2312" w:eastAsia="楷体_GB2312"/>
        </w:rPr>
        <w:t>（四）政府信息公开平台建设</w:t>
      </w:r>
    </w:p>
    <w:p>
      <w:pPr>
        <w:spacing w:line="560" w:lineRule="exact"/>
        <w:jc w:val="left"/>
      </w:pPr>
      <w:r>
        <w:rPr>
          <w:rFonts w:hint="eastAsia" w:ascii="仿宋_GB2312" w:eastAsia="仿宋_GB2312"/>
          <w:szCs w:val="32"/>
        </w:rPr>
        <w:t>充分发挥高青县人民政府网站的平台作用，不断加强政府网站的建设和管理，及时建立新目录，发布完善机构职能、领导分工、政府文件、部门文件、重点领域公开、执法结果等信息，确保应当公开的内容及时公开。</w:t>
      </w:r>
    </w:p>
    <w:p>
      <w:pPr>
        <w:spacing w:line="560" w:lineRule="exact"/>
        <w:jc w:val="left"/>
        <w:rPr>
          <w:rFonts w:ascii="楷体_GB2312" w:eastAsia="楷体_GB2312"/>
        </w:rPr>
      </w:pPr>
      <w:r>
        <w:rPr>
          <w:rFonts w:hint="eastAsia" w:ascii="楷体_GB2312" w:eastAsia="楷体_GB2312"/>
        </w:rPr>
        <w:t>（五）监督保障</w:t>
      </w:r>
    </w:p>
    <w:p>
      <w:pPr>
        <w:spacing w:line="560" w:lineRule="exact"/>
        <w:jc w:val="left"/>
        <w:rPr>
          <w:rFonts w:ascii="仿宋_GB2312" w:eastAsia="仿宋_GB2312"/>
          <w:szCs w:val="32"/>
        </w:rPr>
      </w:pPr>
      <w:r>
        <w:rPr>
          <w:rFonts w:hint="eastAsia" w:ascii="仿宋_GB2312" w:eastAsia="仿宋_GB2312"/>
          <w:szCs w:val="32"/>
        </w:rPr>
        <w:t>调整政务公开领导小组，由局主要负责人任组长，建立培训工作常态化机制，经常组织开展面向信息公开工作人员专业培训，及时总结交流经验，不断提高相关人员的政策把握能力、信息公开工作水平。明确综合科负责政府信息公开工作，配备了1名专职人员。2021年开展了4次政务公开专题培训，对培训政务公开年度计划、政务公开相关条例进行了培训。</w:t>
      </w:r>
    </w:p>
    <w:p>
      <w:pPr>
        <w:pStyle w:val="2"/>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8"/>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bl>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600" w:firstLineChars="200"/>
        <w:rPr>
          <w:rFonts w:ascii="黑体" w:hAnsi="黑体" w:eastAsia="黑体"/>
          <w:sz w:val="30"/>
          <w:szCs w:val="30"/>
        </w:rPr>
      </w:pPr>
    </w:p>
    <w:p>
      <w:pPr>
        <w:pStyle w:val="2"/>
      </w:pPr>
    </w:p>
    <w:p>
      <w:pPr>
        <w:pStyle w:val="2"/>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7"/>
        <w:tblW w:w="9935" w:type="dxa"/>
        <w:jc w:val="center"/>
        <w:tblLayout w:type="fixed"/>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bl>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7"/>
        <w:tblW w:w="9748" w:type="dxa"/>
        <w:jc w:val="center"/>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50" w:type="dxa"/>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240" w:lineRule="auto"/>
        <w:ind w:firstLine="640" w:firstLineChars="200"/>
        <w:rPr>
          <w:rFonts w:ascii="黑体" w:hAnsi="黑体" w:eastAsia="黑体"/>
          <w:szCs w:val="32"/>
        </w:rPr>
      </w:pPr>
    </w:p>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pStyle w:val="6"/>
        <w:widowControl/>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一是重点领域政府信息公开内容太过单一，公开内容不全面、不具体。二是各科室工作人员对政府公开工作意识不强，认为做好业务才是重点，对科室须公开的信息</w:t>
      </w:r>
      <w:r>
        <w:rPr>
          <w:rFonts w:ascii="仿宋_GB2312" w:hAnsi="微软雅黑" w:eastAsia="仿宋_GB2312" w:cs="仿宋_GB2312"/>
          <w:color w:val="000000"/>
          <w:sz w:val="32"/>
          <w:szCs w:val="32"/>
        </w:rPr>
        <w:t>报送不积极、不及时</w:t>
      </w:r>
      <w:r>
        <w:rPr>
          <w:rFonts w:hint="eastAsia" w:ascii="仿宋_GB2312" w:hAnsi="微软雅黑" w:eastAsia="仿宋_GB2312" w:cs="仿宋_GB2312"/>
          <w:color w:val="000000"/>
          <w:sz w:val="32"/>
          <w:szCs w:val="32"/>
        </w:rPr>
        <w:t>，有时不清楚哪些信息需要公开，哪些信息不能公开</w:t>
      </w:r>
      <w:r>
        <w:rPr>
          <w:rFonts w:hint="eastAsia" w:ascii="仿宋_GB2312" w:hAnsi="仿宋_GB2312" w:eastAsia="仿宋_GB2312" w:cs="仿宋_GB2312"/>
          <w:sz w:val="32"/>
          <w:szCs w:val="32"/>
        </w:rPr>
        <w:t>。三是</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信息公开方面群众监督渠道少，群众除了政府网站不了解其他监督渠道，导致分局听取群众意见建议少，不利于政务公开长期发展。</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（二）改进措施</w:t>
      </w:r>
    </w:p>
    <w:p>
      <w:pPr>
        <w:pStyle w:val="6"/>
        <w:widowControl/>
        <w:autoSpaceDN/>
        <w:snapToGrid/>
        <w:spacing w:before="0" w:beforeAutospacing="0" w:after="0" w:afterAutospacing="0" w:line="560" w:lineRule="exact"/>
        <w:ind w:firstLine="640" w:firstLineChars="200"/>
        <w:rPr>
          <w:rFonts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一是</w:t>
      </w:r>
      <w:r>
        <w:rPr>
          <w:rFonts w:ascii="仿宋_GB2312" w:hAnsi="微软雅黑" w:eastAsia="仿宋_GB2312" w:cs="仿宋_GB2312"/>
          <w:color w:val="000000"/>
          <w:sz w:val="32"/>
          <w:szCs w:val="32"/>
        </w:rPr>
        <w:t>进一步规范和深化主动公开工作。按照《中华人民共和国政府信息公开条例》要求，加强政府信息公开制度建设，进一步健全工作考核考评机制，充分调动各科室的工作积极性，确保该公开、能公开的信息及时主动公开。</w:t>
      </w:r>
      <w:r>
        <w:rPr>
          <w:rFonts w:hint="eastAsia" w:ascii="仿宋_GB2312" w:hAnsi="微软雅黑" w:eastAsia="仿宋_GB2312" w:cs="仿宋_GB2312"/>
          <w:color w:val="000000"/>
          <w:sz w:val="32"/>
          <w:szCs w:val="32"/>
        </w:rPr>
        <w:t xml:space="preserve"> </w:t>
      </w:r>
    </w:p>
    <w:p>
      <w:pPr>
        <w:pStyle w:val="6"/>
        <w:widowControl/>
        <w:autoSpaceDN/>
        <w:snapToGrid/>
        <w:spacing w:before="0" w:beforeAutospacing="0" w:after="0" w:afterAutospacing="0" w:line="560" w:lineRule="exact"/>
        <w:ind w:firstLine="640" w:firstLineChars="200"/>
        <w:rPr>
          <w:rFonts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二是</w:t>
      </w:r>
      <w:r>
        <w:rPr>
          <w:rFonts w:ascii="仿宋_GB2312" w:hAnsi="微软雅黑" w:eastAsia="仿宋_GB2312" w:cs="仿宋_GB2312"/>
          <w:color w:val="000000"/>
          <w:sz w:val="32"/>
          <w:szCs w:val="32"/>
        </w:rPr>
        <w:t>不断拓宽政府信息公开渠道。充分发挥政府网站、宣传栏、明白纸以及报刊、广播、电视等媒体平台的作用，确保群众及时知晓和有效获取公开的政府信息。</w:t>
      </w:r>
    </w:p>
    <w:p>
      <w:pPr>
        <w:pStyle w:val="6"/>
        <w:widowControl/>
        <w:autoSpaceDN/>
        <w:snapToGrid/>
        <w:spacing w:before="0" w:beforeAutospacing="0" w:after="0" w:afterAutospacing="0" w:line="560" w:lineRule="exact"/>
        <w:ind w:firstLine="640" w:firstLineChars="200"/>
        <w:rPr>
          <w:rFonts w:ascii="黑体" w:hAnsi="黑体" w:eastAsia="黑体"/>
          <w:sz w:val="30"/>
          <w:szCs w:val="30"/>
        </w:rPr>
      </w:pPr>
      <w:r>
        <w:rPr>
          <w:rFonts w:hint="eastAsia" w:ascii="仿宋_GB2312" w:hAnsi="微软雅黑" w:eastAsia="仿宋_GB2312" w:cs="仿宋_GB2312"/>
          <w:color w:val="000000"/>
          <w:sz w:val="32"/>
          <w:szCs w:val="32"/>
        </w:rPr>
        <w:t>三是健全建立群众</w:t>
      </w:r>
      <w:r>
        <w:rPr>
          <w:rFonts w:hint="eastAsia" w:ascii="仿宋_GB2312" w:eastAsia="仿宋_GB2312"/>
          <w:sz w:val="32"/>
        </w:rPr>
        <w:t>监督通道，通过监督电话、网络举报、市民投诉热线、意见信箱、满意度调查等多种方式，多渠道听取群众意见建议，主动接受群众监督，及时回应社会关切。</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spacing w:line="560" w:lineRule="exact"/>
        <w:ind w:firstLine="640" w:firstLineChars="200"/>
        <w:rPr>
          <w:rFonts w:ascii="楷体_GB2312" w:eastAsia="楷体_GB2312"/>
          <w:szCs w:val="32"/>
        </w:rPr>
      </w:pPr>
      <w:r>
        <w:rPr>
          <w:rFonts w:hint="eastAsia" w:ascii="楷体_GB2312" w:eastAsia="楷体_GB2312"/>
          <w:szCs w:val="32"/>
        </w:rPr>
        <w:t>（一）收取信息处理费情况</w:t>
      </w:r>
    </w:p>
    <w:p>
      <w:pPr>
        <w:spacing w:line="560" w:lineRule="exact"/>
        <w:ind w:firstLine="640" w:firstLineChars="200"/>
        <w:jc w:val="left"/>
        <w:rPr>
          <w:rFonts w:ascii="仿宋_GB2312" w:eastAsia="仿宋_GB2312"/>
          <w:szCs w:val="32"/>
        </w:rPr>
      </w:pPr>
      <w:r>
        <w:rPr>
          <w:rFonts w:hint="eastAsia" w:ascii="仿宋_GB2312" w:eastAsia="仿宋_GB231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spacing w:line="560" w:lineRule="exact"/>
        <w:ind w:firstLine="640" w:firstLineChars="200"/>
        <w:rPr>
          <w:rFonts w:ascii="楷体_GB2312" w:eastAsia="楷体_GB2312"/>
          <w:szCs w:val="32"/>
        </w:rPr>
      </w:pPr>
      <w:r>
        <w:rPr>
          <w:rFonts w:hint="eastAsia" w:ascii="楷体_GB2312" w:eastAsia="楷体_GB2312"/>
          <w:szCs w:val="32"/>
        </w:rPr>
        <w:t>（二）落实上级年度政务公开工作要点情况</w:t>
      </w:r>
    </w:p>
    <w:p>
      <w:pPr>
        <w:spacing w:line="560" w:lineRule="exact"/>
        <w:ind w:firstLine="640" w:firstLineChars="200"/>
      </w:pPr>
      <w:r>
        <w:rPr>
          <w:rFonts w:hint="eastAsia" w:ascii="仿宋_GB2312" w:eastAsia="仿宋_GB231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各项规定，制定了《淄博市医疗保障局高青分局2021年政务公开工作实施方案》，并根据要点要求，重点做好医疗救助、社会保险等领域信息公开工作，目前各项工作已落实到位。</w:t>
      </w:r>
    </w:p>
    <w:p>
      <w:pPr>
        <w:spacing w:line="560" w:lineRule="exact"/>
        <w:ind w:firstLine="640" w:firstLineChars="200"/>
        <w:rPr>
          <w:rFonts w:ascii="楷体_GB2312" w:eastAsia="楷体_GB2312"/>
          <w:szCs w:val="32"/>
        </w:rPr>
      </w:pPr>
      <w:r>
        <w:rPr>
          <w:rFonts w:hint="eastAsia" w:ascii="楷体_GB2312" w:eastAsia="楷体_GB2312"/>
          <w:szCs w:val="32"/>
        </w:rPr>
        <w:t>（三）人大代表建议和政协委员提案办理结果公开情况</w:t>
      </w:r>
    </w:p>
    <w:p>
      <w:pPr>
        <w:spacing w:line="560" w:lineRule="exact"/>
        <w:ind w:firstLine="640" w:firstLineChars="200"/>
        <w:jc w:val="left"/>
        <w:rPr>
          <w:rFonts w:ascii="仿宋_GB2312" w:eastAsia="仿宋_GB2312"/>
          <w:szCs w:val="32"/>
        </w:rPr>
      </w:pPr>
      <w:r>
        <w:rPr>
          <w:rFonts w:hint="eastAsia" w:ascii="仿宋_GB2312" w:eastAsia="仿宋_GB2312"/>
          <w:szCs w:val="32"/>
        </w:rPr>
        <w:t>2021年，本机关未承办县十七届人大五次会议建议和县政协十四届五次会议提案。</w:t>
      </w:r>
    </w:p>
    <w:p>
      <w:pPr>
        <w:spacing w:line="560" w:lineRule="exact"/>
        <w:ind w:firstLine="640" w:firstLineChars="200"/>
        <w:rPr>
          <w:rFonts w:ascii="楷体_GB2312" w:eastAsia="楷体_GB2312"/>
          <w:szCs w:val="32"/>
        </w:rPr>
      </w:pPr>
      <w:r>
        <w:rPr>
          <w:rFonts w:hint="eastAsia" w:ascii="楷体_GB2312" w:eastAsia="楷体_GB2312"/>
          <w:szCs w:val="32"/>
        </w:rPr>
        <w:t>（四）政务公开工作创新情况</w:t>
      </w:r>
    </w:p>
    <w:p>
      <w:pPr>
        <w:spacing w:line="560" w:lineRule="exact"/>
        <w:ind w:firstLine="640" w:firstLineChars="200"/>
        <w:rPr>
          <w:rFonts w:ascii="仿宋_GB2312" w:eastAsia="仿宋_GB2312"/>
          <w:szCs w:val="32"/>
        </w:rPr>
      </w:pPr>
      <w:r>
        <w:rPr>
          <w:rFonts w:hint="eastAsia" w:ascii="仿宋_GB2312" w:eastAsia="仿宋_GB2312"/>
          <w:szCs w:val="32"/>
        </w:rPr>
        <w:t>充分发挥市级统筹优势，通过淄博市医疗保障局官网和公众号，定期发布“齐惠保”、“家庭共济”、医疗救助等政策解读和宣传短片。</w:t>
      </w:r>
    </w:p>
    <w:p>
      <w:pPr>
        <w:spacing w:line="560" w:lineRule="exact"/>
        <w:ind w:firstLine="640" w:firstLineChars="200"/>
        <w:rPr>
          <w:rFonts w:ascii="楷体_GB2312" w:eastAsia="楷体_GB2312"/>
          <w:szCs w:val="32"/>
        </w:rPr>
      </w:pPr>
      <w:r>
        <w:rPr>
          <w:rFonts w:hint="eastAsia" w:ascii="楷体_GB2312" w:eastAsia="楷体_GB2312"/>
          <w:szCs w:val="32"/>
        </w:rPr>
        <w:t>（五）有关数据统计说明</w:t>
      </w:r>
    </w:p>
    <w:p>
      <w:pPr>
        <w:spacing w:line="560" w:lineRule="exact"/>
        <w:ind w:firstLine="640" w:firstLineChars="200"/>
      </w:pPr>
      <w:r>
        <w:rPr>
          <w:rFonts w:hint="eastAsia" w:ascii="仿宋_GB2312" w:eastAsia="仿宋_GB2312"/>
          <w:szCs w:val="32"/>
        </w:rPr>
        <w:t>报告中所列数据可能因四舍五入原因与数据直接相加之和存在尾数差异。</w:t>
      </w:r>
      <w:bookmarkStart w:id="0" w:name="_GoBack"/>
      <w:bookmarkEnd w:id="0"/>
    </w:p>
    <w:p>
      <w:pPr>
        <w:ind w:firstLine="600" w:firstLineChars="200"/>
        <w:jc w:val="left"/>
        <w:rPr>
          <w:rFonts w:ascii="楷体_GB2312" w:hAnsi="黑体" w:eastAsia="楷体_GB2312"/>
          <w:sz w:val="30"/>
          <w:szCs w:val="30"/>
        </w:rPr>
      </w:pPr>
    </w:p>
    <w:p>
      <w:pPr>
        <w:spacing w:line="560" w:lineRule="exact"/>
        <w:ind w:firstLine="600" w:firstLineChars="200"/>
        <w:rPr>
          <w:rFonts w:ascii="楷体_GB2312" w:hAnsi="黑体" w:eastAsia="楷体_GB2312"/>
          <w:sz w:val="30"/>
          <w:szCs w:val="3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871E2"/>
    <w:multiLevelType w:val="singleLevel"/>
    <w:tmpl w:val="D4B871E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24945"/>
    <w:rsid w:val="00117733"/>
    <w:rsid w:val="00121DCF"/>
    <w:rsid w:val="00211942"/>
    <w:rsid w:val="002E3543"/>
    <w:rsid w:val="00415AB1"/>
    <w:rsid w:val="00591E5D"/>
    <w:rsid w:val="00673AC7"/>
    <w:rsid w:val="00704FCD"/>
    <w:rsid w:val="00720D49"/>
    <w:rsid w:val="00727D87"/>
    <w:rsid w:val="008C4ED2"/>
    <w:rsid w:val="009B028C"/>
    <w:rsid w:val="00B468E2"/>
    <w:rsid w:val="00C50789"/>
    <w:rsid w:val="00C67940"/>
    <w:rsid w:val="00CC2BE7"/>
    <w:rsid w:val="00CD1D00"/>
    <w:rsid w:val="00EA0721"/>
    <w:rsid w:val="00EF5607"/>
    <w:rsid w:val="00FA216A"/>
    <w:rsid w:val="00FD5381"/>
    <w:rsid w:val="0D6E7A8E"/>
    <w:rsid w:val="38ED0A92"/>
    <w:rsid w:val="60223F6F"/>
    <w:rsid w:val="62C6164D"/>
    <w:rsid w:val="6E045ADA"/>
    <w:rsid w:val="7C3B4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itle"/>
    <w:basedOn w:val="1"/>
    <w:qFormat/>
    <w:uiPriority w:val="10"/>
    <w:pPr>
      <w:spacing w:before="240" w:after="60"/>
      <w:jc w:val="center"/>
      <w:outlineLvl w:val="0"/>
    </w:pPr>
    <w:rPr>
      <w:rFonts w:ascii="Arial" w:hAnsi="Arial"/>
    </w:rPr>
  </w:style>
  <w:style w:type="paragraph" w:styleId="3">
    <w:name w:val="Balloon Text"/>
    <w:basedOn w:val="1"/>
    <w:link w:val="12"/>
    <w:semiHidden/>
    <w:unhideWhenUsed/>
    <w:uiPriority w:val="99"/>
    <w:pPr>
      <w:spacing w:line="240" w:lineRule="auto"/>
    </w:pPr>
    <w:rPr>
      <w:sz w:val="18"/>
      <w:szCs w:val="18"/>
    </w:rPr>
  </w:style>
  <w:style w:type="paragraph" w:styleId="4">
    <w:name w:val="footer"/>
    <w:basedOn w:val="1"/>
    <w:link w:val="11"/>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6">
    <w:name w:val="Normal (Web)"/>
    <w:basedOn w:val="1"/>
    <w:uiPriority w:val="0"/>
    <w:pPr>
      <w:spacing w:before="100" w:beforeAutospacing="1" w:after="100" w:afterAutospacing="1"/>
      <w:jc w:val="left"/>
    </w:pPr>
    <w:rPr>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Times New Roman" w:hAnsi="Times New Roman" w:eastAsia="方正仿宋_GBK" w:cs="Times New Roman"/>
      <w:snapToGrid w:val="0"/>
      <w:kern w:val="0"/>
      <w:sz w:val="18"/>
      <w:szCs w:val="18"/>
    </w:rPr>
  </w:style>
  <w:style w:type="character" w:customStyle="1" w:styleId="11">
    <w:name w:val="页脚 Char"/>
    <w:basedOn w:val="9"/>
    <w:link w:val="4"/>
    <w:uiPriority w:val="99"/>
    <w:rPr>
      <w:rFonts w:ascii="Times New Roman" w:hAnsi="Times New Roman" w:eastAsia="方正仿宋_GBK" w:cs="Times New Roman"/>
      <w:snapToGrid w:val="0"/>
      <w:kern w:val="0"/>
      <w:sz w:val="18"/>
      <w:szCs w:val="18"/>
    </w:rPr>
  </w:style>
  <w:style w:type="character" w:customStyle="1" w:styleId="12">
    <w:name w:val="批注框文本 Char"/>
    <w:basedOn w:val="9"/>
    <w:link w:val="3"/>
    <w:semiHidden/>
    <w:uiPriority w:val="99"/>
    <w:rPr>
      <w:rFonts w:ascii="Times New Roman" w:hAnsi="Times New Roman" w:eastAsia="方正仿宋_GBK" w:cs="Times New Roman"/>
      <w:snapToGrid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523</Words>
  <Characters>2986</Characters>
  <Lines>24</Lines>
  <Paragraphs>7</Paragraphs>
  <TotalTime>6</TotalTime>
  <ScaleCrop>false</ScaleCrop>
  <LinksUpToDate>false</LinksUpToDate>
  <CharactersWithSpaces>3502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W.</cp:lastModifiedBy>
  <dcterms:modified xsi:type="dcterms:W3CDTF">2022-01-24T01:15:53Z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D9FEE2CDC5434FBC971F1985C89FEA70</vt:lpwstr>
  </property>
</Properties>
</file>