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jc w:val="center"/>
        <w:rPr>
          <w:rFonts w:ascii="方正小标宋简体" w:eastAsia="方正小标宋简体"/>
          <w:sz w:val="44"/>
          <w:szCs w:val="44"/>
        </w:rPr>
      </w:pPr>
      <w:r>
        <w:rPr>
          <w:rFonts w:hint="eastAsia" w:ascii="方正小标宋简体" w:eastAsia="方正小标宋简体"/>
          <w:sz w:val="44"/>
          <w:szCs w:val="44"/>
        </w:rPr>
        <w:t>淄博市医疗保障局高青分局</w:t>
      </w:r>
    </w:p>
    <w:p>
      <w:pPr>
        <w:spacing w:line="600" w:lineRule="exact"/>
        <w:ind w:firstLine="0"/>
        <w:jc w:val="center"/>
        <w:rPr>
          <w:rFonts w:ascii="方正小标宋简体" w:eastAsia="方正小标宋简体"/>
          <w:sz w:val="44"/>
          <w:szCs w:val="44"/>
        </w:rPr>
      </w:pPr>
      <w:r>
        <w:rPr>
          <w:rFonts w:hint="eastAsia" w:ascii="方正小标宋简体" w:eastAsia="方正小标宋简体"/>
          <w:sz w:val="44"/>
          <w:szCs w:val="44"/>
        </w:rPr>
        <w:t>2022年政府信息公开工作年度报告</w:t>
      </w:r>
    </w:p>
    <w:p>
      <w:pPr>
        <w:spacing w:line="600" w:lineRule="exact"/>
        <w:ind w:firstLine="640" w:firstLineChars="200"/>
        <w:rPr>
          <w:rFonts w:ascii="仿宋_GB2312" w:eastAsia="仿宋_GB2312"/>
        </w:rPr>
      </w:pPr>
    </w:p>
    <w:p>
      <w:pPr>
        <w:spacing w:line="600" w:lineRule="exact"/>
        <w:ind w:firstLine="640" w:firstLineChars="200"/>
        <w:rPr>
          <w:rFonts w:ascii="仿宋_GB2312" w:eastAsia="仿宋_GB2312"/>
        </w:rPr>
      </w:pPr>
      <w:r>
        <w:rPr>
          <w:rFonts w:hint="eastAsia" w:ascii="仿宋_GB2312" w:eastAsia="仿宋_GB2312"/>
        </w:rPr>
        <w:t>本报告根据《中华人民共和国政府信息公开条例》（国务院令第711号，以下简称《条例》）</w:t>
      </w:r>
      <w:r>
        <w:rPr>
          <w:rFonts w:hint="eastAsia" w:ascii="仿宋_GB2312" w:eastAsia="仿宋_GB2312"/>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hint="eastAsia" w:ascii="仿宋_GB2312" w:eastAsia="仿宋_GB2312"/>
          <w:szCs w:val="32"/>
        </w:rPr>
        <w:t>）相关要求编制</w:t>
      </w:r>
      <w:r>
        <w:rPr>
          <w:rFonts w:hint="eastAsia" w:ascii="仿宋_GB2312" w:eastAsia="仿宋_GB2312"/>
        </w:rPr>
        <w:t>。报告全文分总体情况、主动公开政府信息情况、收到和处理政府信息公开申请情况、政府信息公开行政复议和行政诉讼情况、存在的主要问题及改进情况、其他需要报告的事项6个部分。</w:t>
      </w:r>
    </w:p>
    <w:p>
      <w:pPr>
        <w:spacing w:line="600" w:lineRule="exact"/>
        <w:ind w:firstLine="640" w:firstLineChars="200"/>
        <w:rPr>
          <w:rFonts w:ascii="仿宋_GB2312" w:hAnsi="黑体" w:eastAsia="仿宋_GB2312"/>
        </w:rPr>
      </w:pPr>
      <w:r>
        <w:rPr>
          <w:rFonts w:hint="eastAsia" w:ascii="仿宋_GB2312" w:eastAsia="仿宋_GB2312"/>
        </w:rPr>
        <w:t>报告中所列数据统计期限自2022年1月1日始，至2022年12月31日止。报告电子版可在高青县人民政府门户网站（www.gaoqing.gov.cn）查阅和下载。如对报告内容有疑问，请与淄博市医疗保障局高青分局办公室联系（地址：山东省淄博市高青县清河路9号；邮编：256300；电话：0533-6968175；电子邮箱：sylbzjgqfj@zb.shandong.cn）。</w:t>
      </w:r>
    </w:p>
    <w:p>
      <w:pPr>
        <w:spacing w:line="600" w:lineRule="exact"/>
        <w:ind w:firstLine="640" w:firstLineChars="200"/>
        <w:rPr>
          <w:rFonts w:ascii="黑体" w:hAnsi="黑体" w:eastAsia="黑体"/>
          <w:szCs w:val="32"/>
        </w:rPr>
      </w:pPr>
      <w:r>
        <w:rPr>
          <w:rFonts w:hint="eastAsia" w:ascii="黑体" w:hAnsi="黑体" w:eastAsia="黑体"/>
          <w:szCs w:val="32"/>
        </w:rPr>
        <w:t>一、总体情况</w:t>
      </w:r>
    </w:p>
    <w:p>
      <w:pPr>
        <w:widowControl/>
        <w:jc w:val="left"/>
        <w:rPr>
          <w:rFonts w:ascii="仿宋_GB2312" w:eastAsia="仿宋_GB2312"/>
          <w:szCs w:val="32"/>
        </w:rPr>
      </w:pPr>
      <w:r>
        <w:rPr>
          <w:rFonts w:ascii="仿宋_GB2312" w:eastAsia="仿宋_GB2312"/>
          <w:szCs w:val="32"/>
        </w:rPr>
        <w:t>202</w:t>
      </w:r>
      <w:r>
        <w:rPr>
          <w:rFonts w:hint="eastAsia" w:ascii="仿宋_GB2312" w:eastAsia="仿宋_GB2312"/>
          <w:szCs w:val="32"/>
        </w:rPr>
        <w:t>2年，淄博市医疗保障局高青分局坚持以习近平新时代中国特色社会主义思想为指导，认真落实国家和省市县政务公开工作</w:t>
      </w:r>
      <w:r>
        <w:rPr>
          <w:rFonts w:hint="eastAsia" w:ascii="仿宋_GB2312" w:eastAsia="仿宋_GB2312"/>
        </w:rPr>
        <w:t>部署，</w:t>
      </w:r>
      <w:r>
        <w:rPr>
          <w:rFonts w:ascii="仿宋_GB2312" w:eastAsia="仿宋_GB2312"/>
        </w:rPr>
        <w:t>坚持以人民为中心深化政务公开，进一步提高政务公开法治化、标准化、规范化水平，政务公开工作取得了一定成效。</w:t>
      </w:r>
    </w:p>
    <w:p>
      <w:pPr>
        <w:spacing w:line="600" w:lineRule="exact"/>
        <w:jc w:val="left"/>
        <w:rPr>
          <w:rFonts w:ascii="楷体_GB2312" w:eastAsia="楷体_GB2312"/>
        </w:rPr>
      </w:pPr>
      <w:r>
        <w:rPr>
          <w:rFonts w:hint="eastAsia" w:ascii="楷体_GB2312" w:eastAsia="楷体_GB2312"/>
        </w:rPr>
        <w:t>（一）主动公开</w:t>
      </w:r>
    </w:p>
    <w:p>
      <w:pPr>
        <w:widowControl/>
        <w:jc w:val="left"/>
        <w:rPr>
          <w:rFonts w:ascii="仿宋_GB2312" w:eastAsia="仿宋_GB2312"/>
          <w:szCs w:val="32"/>
        </w:rPr>
      </w:pPr>
      <w:r>
        <w:rPr>
          <w:rFonts w:hint="eastAsia" w:ascii="仿宋_GB2312" w:eastAsia="仿宋_GB2312"/>
          <w:szCs w:val="32"/>
        </w:rPr>
        <w:t>严格落实</w:t>
      </w:r>
      <w:r>
        <w:rPr>
          <w:rFonts w:ascii="仿宋_GB2312" w:eastAsia="仿宋_GB2312"/>
          <w:szCs w:val="32"/>
        </w:rPr>
        <w:t>《淄博市医疗保障局高青分局政务公开</w:t>
      </w:r>
      <w:r>
        <w:rPr>
          <w:rFonts w:hint="eastAsia" w:ascii="仿宋_GB2312" w:eastAsia="仿宋_GB2312"/>
          <w:szCs w:val="32"/>
        </w:rPr>
        <w:t>工作</w:t>
      </w:r>
      <w:r>
        <w:rPr>
          <w:rFonts w:ascii="仿宋_GB2312" w:eastAsia="仿宋_GB2312"/>
          <w:szCs w:val="32"/>
        </w:rPr>
        <w:t>制度》，</w:t>
      </w:r>
      <w:r>
        <w:rPr>
          <w:rFonts w:hint="eastAsia" w:ascii="仿宋_GB2312" w:eastAsia="仿宋_GB2312"/>
          <w:szCs w:val="32"/>
        </w:rPr>
        <w:t>制定2022年政务公开工作实施方案，</w:t>
      </w:r>
      <w:r>
        <w:rPr>
          <w:rFonts w:ascii="仿宋_GB2312" w:eastAsia="仿宋_GB2312"/>
          <w:szCs w:val="32"/>
        </w:rPr>
        <w:t>及时公开</w:t>
      </w:r>
      <w:r>
        <w:rPr>
          <w:rFonts w:hint="eastAsia" w:ascii="仿宋_GB2312" w:eastAsia="仿宋_GB2312"/>
          <w:szCs w:val="32"/>
        </w:rPr>
        <w:t>医疗救助、医疗保险基金收支等</w:t>
      </w:r>
      <w:r>
        <w:rPr>
          <w:rFonts w:ascii="仿宋_GB2312" w:eastAsia="仿宋_GB2312"/>
          <w:szCs w:val="32"/>
        </w:rPr>
        <w:t>相关信息，按规定公开监督管理、处罚信息。</w:t>
      </w:r>
      <w:r>
        <w:rPr>
          <w:rFonts w:hint="eastAsia" w:ascii="仿宋_GB2312" w:eastAsia="仿宋_GB2312"/>
          <w:szCs w:val="32"/>
        </w:rPr>
        <w:t>2022年通过政府网站公开政府信息</w:t>
      </w:r>
      <w:r>
        <w:rPr>
          <w:rFonts w:ascii="仿宋_GB2312" w:eastAsia="仿宋_GB2312"/>
          <w:szCs w:val="32"/>
          <w:lang w:val="en"/>
        </w:rPr>
        <w:t>59</w:t>
      </w:r>
      <w:r>
        <w:rPr>
          <w:rFonts w:hint="eastAsia" w:ascii="仿宋_GB2312" w:eastAsia="仿宋_GB2312"/>
          <w:szCs w:val="32"/>
          <w:lang w:val="en"/>
        </w:rPr>
        <w:t>条，</w:t>
      </w:r>
      <w:r>
        <w:rPr>
          <w:rFonts w:hint="eastAsia" w:ascii="仿宋_GB2312" w:eastAsia="仿宋_GB2312"/>
          <w:szCs w:val="32"/>
        </w:rPr>
        <w:t>比2021年增加了12条。开展政策解读工作，通过“淄博市医疗保障局”微信公众号共发布7篇解读材料。做好回应关切，开展“政府开放日”“政务公开进企业”活动3次，回复政府信息群众留言2件。</w:t>
      </w:r>
    </w:p>
    <w:p>
      <w:pPr>
        <w:widowControl/>
        <w:ind w:firstLine="0"/>
        <w:jc w:val="left"/>
        <w:rPr>
          <w:rFonts w:ascii="仿宋_GB2312" w:eastAsia="仿宋_GB2312"/>
          <w:szCs w:val="32"/>
        </w:rPr>
      </w:pPr>
      <w:r>
        <w:rPr>
          <w:snapToGrid/>
        </w:rPr>
        <w:drawing>
          <wp:inline distT="0" distB="0" distL="0" distR="0">
            <wp:extent cx="5274310" cy="3729355"/>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4310" cy="3729865"/>
                    </a:xfrm>
                    <a:prstGeom prst="rect">
                      <a:avLst/>
                    </a:prstGeom>
                  </pic:spPr>
                </pic:pic>
              </a:graphicData>
            </a:graphic>
          </wp:inline>
        </w:drawing>
      </w:r>
    </w:p>
    <w:p>
      <w:pPr>
        <w:spacing w:line="600" w:lineRule="exact"/>
        <w:jc w:val="left"/>
        <w:rPr>
          <w:rFonts w:ascii="楷体_GB2312" w:eastAsia="楷体_GB2312"/>
        </w:rPr>
      </w:pPr>
      <w:r>
        <w:rPr>
          <w:rFonts w:hint="eastAsia" w:ascii="楷体_GB2312" w:eastAsia="楷体_GB2312"/>
        </w:rPr>
        <w:t>（二）依申请公开</w:t>
      </w:r>
    </w:p>
    <w:p>
      <w:pPr>
        <w:spacing w:line="560" w:lineRule="exact"/>
        <w:ind w:firstLine="640" w:firstLineChars="200"/>
        <w:rPr>
          <w:rFonts w:ascii="仿宋_GB2312" w:eastAsia="仿宋_GB2312"/>
          <w:szCs w:val="32"/>
        </w:rPr>
      </w:pPr>
      <w:r>
        <w:rPr>
          <w:rFonts w:hint="eastAsia" w:ascii="仿宋_GB2312" w:eastAsia="仿宋_GB2312"/>
          <w:szCs w:val="32"/>
        </w:rPr>
        <w:t>2022年，本机关未收到政府信息公开申请，上年度结转0件。本机关依申请公开政府信息未收取任何费用，未因政府信息公开被申请行政复议、提起行政诉讼。</w:t>
      </w:r>
    </w:p>
    <w:p>
      <w:pPr>
        <w:spacing w:line="600" w:lineRule="exact"/>
        <w:jc w:val="left"/>
        <w:rPr>
          <w:rFonts w:ascii="楷体_GB2312" w:eastAsia="楷体_GB2312"/>
        </w:rPr>
      </w:pPr>
      <w:r>
        <w:rPr>
          <w:rFonts w:hint="eastAsia" w:ascii="楷体_GB2312" w:eastAsia="楷体_GB2312"/>
        </w:rPr>
        <w:t>（三）政府信息管理</w:t>
      </w:r>
    </w:p>
    <w:p>
      <w:pPr>
        <w:spacing w:line="560" w:lineRule="exact"/>
        <w:ind w:firstLine="640" w:firstLineChars="200"/>
        <w:rPr>
          <w:rFonts w:ascii="仿宋_GB2312" w:eastAsia="仿宋_GB2312"/>
          <w:szCs w:val="32"/>
        </w:rPr>
      </w:pPr>
      <w:r>
        <w:rPr>
          <w:rFonts w:hint="eastAsia" w:ascii="仿宋_GB2312" w:eastAsia="仿宋_GB2312"/>
          <w:szCs w:val="32"/>
        </w:rPr>
        <w:t>严格落实信息采集、内容审核、保密审查等环节管理，保证公开内容真实有效。依法保护好个人隐私，除惩戒性公示公告、强制性信息披露外，对于其他涉及个人隐私的政府信息，公开时去标识化处理，并选择恰当的公开方式和范围。优化调整政府信息公开指南和政府信息主动公开基本目录，明确信息公开时限，确保信息准确性和时效性。</w:t>
      </w:r>
    </w:p>
    <w:p>
      <w:pPr>
        <w:spacing w:line="600" w:lineRule="exact"/>
        <w:jc w:val="left"/>
        <w:rPr>
          <w:rFonts w:ascii="楷体_GB2312" w:eastAsia="楷体_GB2312"/>
        </w:rPr>
      </w:pPr>
      <w:r>
        <w:rPr>
          <w:rFonts w:hint="eastAsia" w:ascii="楷体_GB2312" w:eastAsia="楷体_GB2312"/>
        </w:rPr>
        <w:t>（四）政府信息公开平台建设</w:t>
      </w:r>
    </w:p>
    <w:p>
      <w:pPr>
        <w:spacing w:line="560" w:lineRule="exact"/>
        <w:ind w:firstLine="640" w:firstLineChars="200"/>
        <w:rPr>
          <w:rFonts w:ascii="仿宋_GB2312" w:eastAsia="仿宋_GB2312"/>
          <w:szCs w:val="32"/>
        </w:rPr>
      </w:pPr>
      <w:r>
        <w:rPr>
          <w:rFonts w:hint="eastAsia" w:ascii="仿宋_GB2312" w:eastAsia="仿宋_GB2312"/>
          <w:szCs w:val="32"/>
        </w:rPr>
        <w:t>以县政府网站作为信息公开第一平台，新开设“救助标准”“医保服务”专栏，细化公开内容。以微信公众号为辅助平台，及时发布业务信息、政策文件等，打造与群众交流互动信息服务平台。同时利用报刊、新媒体、宣传栏等形式, 扩大发布信息的受众面。</w:t>
      </w:r>
    </w:p>
    <w:p>
      <w:pPr>
        <w:spacing w:line="600" w:lineRule="exact"/>
        <w:jc w:val="left"/>
        <w:rPr>
          <w:rFonts w:ascii="楷体_GB2312" w:eastAsia="楷体_GB2312"/>
        </w:rPr>
      </w:pPr>
      <w:r>
        <w:rPr>
          <w:rFonts w:hint="eastAsia" w:ascii="楷体_GB2312" w:eastAsia="楷体_GB2312"/>
        </w:rPr>
        <w:t>（五）监督保障</w:t>
      </w:r>
    </w:p>
    <w:p>
      <w:pPr>
        <w:spacing w:line="560" w:lineRule="exact"/>
        <w:ind w:firstLine="640" w:firstLineChars="200"/>
        <w:rPr>
          <w:rFonts w:ascii="仿宋_GB2312" w:eastAsia="仿宋_GB2312"/>
          <w:szCs w:val="32"/>
        </w:rPr>
      </w:pPr>
      <w:r>
        <w:rPr>
          <w:rFonts w:hint="eastAsia" w:ascii="仿宋_GB2312" w:eastAsia="仿宋_GB2312"/>
          <w:szCs w:val="32"/>
        </w:rPr>
        <w:t>调整政务公开工作领导小组，明确办公室作为政务公开工作机构，新增1名兼职人员。加大政务公开培训力度，制定2022年政务公开工作培训计划，组织开展政务公开培训1次，学习政府信息公开条例，切实提高工作人员业务水平。</w:t>
      </w: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二、主动公开政府信息情况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3"/>
        <w:gridCol w:w="2022"/>
        <w:gridCol w:w="2023"/>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规章</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行政规范性文件</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行政许可</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行政处罚</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行政强制</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行政事业性收费</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bl>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三、收到和处理政府信息公开申请情况</w:t>
      </w:r>
    </w:p>
    <w:tbl>
      <w:tblPr>
        <w:tblStyle w:val="5"/>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bl>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其他</w:t>
            </w:r>
            <w:r>
              <w:rPr>
                <w:rFonts w:hint="eastAsia" w:ascii="宋体" w:hAnsi="宋体" w:eastAsia="宋体" w:cs="宋体"/>
                <w:snapToGrid/>
                <w:color w:val="000000"/>
                <w:sz w:val="20"/>
              </w:rPr>
              <w:br w:type="textWrapping"/>
            </w:r>
            <w:r>
              <w:rPr>
                <w:rFonts w:hint="eastAsia" w:ascii="宋体" w:hAnsi="宋体" w:eastAsia="宋体" w:cs="宋体"/>
                <w:snapToGrid/>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240" w:lineRule="auto"/>
        <w:ind w:firstLine="640" w:firstLineChars="200"/>
        <w:rPr>
          <w:rFonts w:ascii="黑体" w:hAnsi="黑体" w:eastAsia="黑体"/>
          <w:szCs w:val="32"/>
        </w:rPr>
      </w:pPr>
    </w:p>
    <w:p>
      <w:pPr>
        <w:spacing w:line="560" w:lineRule="exact"/>
        <w:ind w:firstLine="640" w:firstLineChars="200"/>
        <w:rPr>
          <w:rFonts w:ascii="黑体" w:hAnsi="黑体" w:eastAsia="黑体"/>
          <w:szCs w:val="32"/>
        </w:rPr>
      </w:pPr>
      <w:r>
        <w:rPr>
          <w:rFonts w:hint="eastAsia" w:ascii="黑体" w:hAnsi="黑体" w:eastAsia="黑体"/>
          <w:szCs w:val="32"/>
        </w:rPr>
        <w:t>五、存在的主要问题及改进情况</w:t>
      </w:r>
    </w:p>
    <w:p>
      <w:pPr>
        <w:spacing w:line="560" w:lineRule="exact"/>
        <w:ind w:firstLine="600" w:firstLineChars="200"/>
        <w:rPr>
          <w:rFonts w:ascii="楷体_GB2312" w:hAnsi="黑体" w:eastAsia="楷体_GB2312"/>
          <w:sz w:val="30"/>
          <w:szCs w:val="30"/>
        </w:rPr>
      </w:pPr>
      <w:r>
        <w:rPr>
          <w:rFonts w:hint="eastAsia" w:ascii="楷体_GB2312" w:hAnsi="黑体" w:eastAsia="楷体_GB2312"/>
          <w:sz w:val="30"/>
          <w:szCs w:val="30"/>
        </w:rPr>
        <w:t>（一）存在问题</w:t>
      </w:r>
    </w:p>
    <w:p>
      <w:pPr>
        <w:spacing w:line="560" w:lineRule="exact"/>
        <w:ind w:firstLine="640" w:firstLineChars="200"/>
        <w:rPr>
          <w:rFonts w:ascii="仿宋_GB2312" w:eastAsia="仿宋_GB2312"/>
          <w:szCs w:val="32"/>
        </w:rPr>
      </w:pPr>
      <w:r>
        <w:rPr>
          <w:rFonts w:hint="eastAsia" w:ascii="仿宋_GB2312" w:eastAsia="仿宋_GB2312"/>
          <w:szCs w:val="32"/>
        </w:rPr>
        <w:t>2022年政务公开工作有序推进，但也存在一些薄弱环节，主要表现在：一是信息公开的内容有待充实，例如医疗救助方面，救助人员审核、救助资金发放情况还需要进一步细化完善。二是政策解读工作比较薄弱，还需要进一步加强。</w:t>
      </w:r>
    </w:p>
    <w:p>
      <w:pPr>
        <w:spacing w:line="560" w:lineRule="exact"/>
        <w:ind w:firstLine="600" w:firstLineChars="200"/>
        <w:rPr>
          <w:rFonts w:ascii="楷体_GB2312" w:hAnsi="黑体" w:eastAsia="楷体_GB2312"/>
          <w:sz w:val="30"/>
          <w:szCs w:val="30"/>
        </w:rPr>
      </w:pPr>
      <w:r>
        <w:rPr>
          <w:rFonts w:hint="eastAsia" w:ascii="楷体_GB2312" w:hAnsi="黑体" w:eastAsia="楷体_GB2312"/>
          <w:sz w:val="30"/>
          <w:szCs w:val="30"/>
        </w:rPr>
        <w:t>（二）改进措施</w:t>
      </w:r>
    </w:p>
    <w:p>
      <w:pPr>
        <w:spacing w:line="560" w:lineRule="exact"/>
        <w:ind w:firstLine="640" w:firstLineChars="200"/>
        <w:rPr>
          <w:rFonts w:ascii="楷体_GB2312" w:hAnsi="黑体" w:eastAsia="楷体_GB2312"/>
          <w:sz w:val="30"/>
          <w:szCs w:val="30"/>
          <w:highlight w:val="yellow"/>
        </w:rPr>
      </w:pPr>
      <w:r>
        <w:rPr>
          <w:rFonts w:hint="eastAsia" w:ascii="仿宋_GB2312" w:eastAsia="仿宋_GB2312"/>
          <w:szCs w:val="32"/>
        </w:rPr>
        <w:t>一是提高信息公开质量。严格按照重点领域基层政务公开标准目录要求，规范公开栏目设置，细化完善重点领域特别是医疗救助领域信息公开，细化内容、严格时限，确保群众能够及时获取信息。</w:t>
      </w:r>
    </w:p>
    <w:p>
      <w:pPr>
        <w:spacing w:line="560" w:lineRule="exact"/>
        <w:ind w:firstLine="640" w:firstLineChars="200"/>
        <w:rPr>
          <w:rFonts w:ascii="仿宋_GB2312" w:eastAsia="仿宋_GB2312"/>
          <w:szCs w:val="32"/>
        </w:rPr>
      </w:pPr>
      <w:r>
        <w:rPr>
          <w:rFonts w:hint="eastAsia" w:ascii="仿宋_GB2312" w:eastAsia="仿宋_GB2312"/>
          <w:szCs w:val="32"/>
        </w:rPr>
        <w:t>二是强化政策解读，加大对医疗保障、救助等相关领域政策文件的解读，通过图文、音频、短视频等，多形式解读政策，提高政策知晓度。</w:t>
      </w:r>
    </w:p>
    <w:p>
      <w:pPr>
        <w:spacing w:line="560" w:lineRule="exact"/>
        <w:ind w:firstLine="640" w:firstLineChars="200"/>
        <w:rPr>
          <w:rFonts w:ascii="黑体" w:hAnsi="黑体" w:eastAsia="黑体"/>
          <w:szCs w:val="32"/>
        </w:rPr>
      </w:pPr>
      <w:r>
        <w:rPr>
          <w:rFonts w:hint="eastAsia" w:ascii="黑体" w:hAnsi="黑体" w:eastAsia="黑体"/>
          <w:szCs w:val="32"/>
        </w:rPr>
        <w:t>六、其他需要报告的事项</w:t>
      </w:r>
    </w:p>
    <w:p>
      <w:pPr>
        <w:ind w:firstLine="600" w:firstLineChars="200"/>
        <w:jc w:val="left"/>
        <w:rPr>
          <w:rFonts w:ascii="楷体_GB2312" w:hAnsi="黑体" w:eastAsia="楷体_GB2312"/>
          <w:sz w:val="30"/>
          <w:szCs w:val="30"/>
        </w:rPr>
      </w:pPr>
      <w:r>
        <w:rPr>
          <w:rFonts w:hint="eastAsia" w:ascii="楷体_GB2312" w:hAnsi="黑体" w:eastAsia="楷体_GB2312"/>
          <w:sz w:val="30"/>
          <w:szCs w:val="30"/>
        </w:rPr>
        <w:t>（一）政府信息公开信息处理费收取情况</w:t>
      </w:r>
    </w:p>
    <w:p>
      <w:pPr>
        <w:ind w:firstLine="640" w:firstLineChars="200"/>
        <w:rPr>
          <w:rFonts w:ascii="仿宋_GB2312" w:eastAsia="仿宋_GB2312"/>
          <w:szCs w:val="32"/>
        </w:rPr>
      </w:pPr>
      <w:r>
        <w:rPr>
          <w:rFonts w:hint="eastAsia" w:ascii="仿宋_GB2312" w:eastAsia="仿宋_GB2312"/>
          <w:szCs w:val="32"/>
        </w:rPr>
        <w:t>本机关依申请提供政府信息，根据《国务院办公厅关于印发&lt;政府信息公开信息处理费管理办法&gt;的通知》（国办函〔2020〕109号）和《山东省人民政府办公厅关于做好政府信息公开信息处理费管理工作有关事项的通知》（鲁政办字〔2020〕179号）收取信息处理费。2022年本机关依申请公开政府信息未收取任何费用。</w:t>
      </w:r>
    </w:p>
    <w:p>
      <w:pPr>
        <w:ind w:firstLine="600" w:firstLineChars="200"/>
        <w:jc w:val="left"/>
        <w:rPr>
          <w:rFonts w:ascii="楷体_GB2312" w:hAnsi="黑体" w:eastAsia="楷体_GB2312"/>
          <w:sz w:val="30"/>
          <w:szCs w:val="30"/>
        </w:rPr>
      </w:pPr>
      <w:r>
        <w:rPr>
          <w:rFonts w:hint="eastAsia" w:ascii="楷体_GB2312" w:hAnsi="黑体" w:eastAsia="楷体_GB2312"/>
          <w:sz w:val="30"/>
          <w:szCs w:val="30"/>
        </w:rPr>
        <w:t>（二）落实上级年度政务公开工作要点情况</w:t>
      </w:r>
    </w:p>
    <w:p>
      <w:pPr>
        <w:widowControl/>
        <w:jc w:val="left"/>
        <w:rPr>
          <w:rFonts w:ascii="仿宋_GB2312" w:eastAsia="仿宋_GB2312"/>
          <w:szCs w:val="32"/>
        </w:rPr>
      </w:pPr>
      <w:r>
        <w:rPr>
          <w:rFonts w:hint="eastAsia" w:ascii="仿宋_GB2312" w:eastAsia="仿宋_GB2312"/>
          <w:szCs w:val="32"/>
        </w:rPr>
        <w:t>本机关严格落实《国务院办公厅关于印发2022年政务公开工作要点的通知》《山东省人民政府办公厅关于印发2022年山东省政务公开工作要点的通知》，以及《淄博市人民政府办公室关于印发2022年淄博市政务公开工作方案的通知》《高青县人民政府办公室关于印发2022年高青县政务公开工作要点的通知》要求，扎实推进政务公开工作。一是规范信息公开发布。按照要求落实公开责任，及时主动公开相关信息。实行分类指导，认真总结典型经验，及时推广。进一步充实政府信息公开内容，做好</w:t>
      </w:r>
      <w:r>
        <w:rPr>
          <w:rFonts w:ascii="仿宋_GB2312" w:eastAsia="仿宋_GB2312"/>
          <w:szCs w:val="32"/>
        </w:rPr>
        <w:t>政策文件、政府工作报告任务执行情况、“双随机</w:t>
      </w:r>
      <w:r>
        <w:rPr>
          <w:rFonts w:hint="eastAsia" w:ascii="仿宋_GB2312" w:eastAsia="仿宋_GB2312"/>
          <w:szCs w:val="32"/>
          <w:lang w:eastAsia="zh-CN"/>
        </w:rPr>
        <w:t>、</w:t>
      </w:r>
      <w:bookmarkStart w:id="0" w:name="_GoBack"/>
      <w:bookmarkEnd w:id="0"/>
      <w:r>
        <w:rPr>
          <w:rFonts w:ascii="仿宋_GB2312" w:eastAsia="仿宋_GB2312"/>
          <w:szCs w:val="32"/>
        </w:rPr>
        <w:t>一公开”抽查计划、清单及结果等重点领域信息公开</w:t>
      </w:r>
      <w:r>
        <w:rPr>
          <w:rFonts w:hint="eastAsia" w:ascii="仿宋_GB2312" w:eastAsia="仿宋_GB2312"/>
          <w:szCs w:val="32"/>
        </w:rPr>
        <w:t>，</w:t>
      </w:r>
      <w:r>
        <w:rPr>
          <w:rFonts w:ascii="仿宋_GB2312" w:eastAsia="仿宋_GB2312"/>
          <w:szCs w:val="32"/>
        </w:rPr>
        <w:t>促使政务公开工作规范开展</w:t>
      </w:r>
      <w:r>
        <w:rPr>
          <w:rFonts w:hint="eastAsia" w:ascii="仿宋_GB2312" w:eastAsia="仿宋_GB2312"/>
          <w:szCs w:val="32"/>
        </w:rPr>
        <w:t>。二是深化信息公开内容。细化政府信息主动公开基本目录，结合医保分局工作实际，做好重点工作、重点领域的信息公开，及时公开医疗救助、医疗保险收支情况、定点医疗机构数量等相关信息，确保信息公开数量；及时公开医疗救助申请标准，开设专栏进行医疗救助审核信息公示，使医疗救助信息更加公开透明，稳步提高信息公开质量。借助淄博市医疗保障局官方网站和微信公众号，定期发布政策解读和工作动态，从方便人民群众和服务对象理解的角度出发，制作视频等内容深化政策解读。三是</w:t>
      </w:r>
      <w:r>
        <w:rPr>
          <w:rFonts w:ascii="仿宋_GB2312" w:eastAsia="仿宋_GB2312"/>
          <w:szCs w:val="32"/>
        </w:rPr>
        <w:t>加强培训，广泛宣传。召开政府信息公开工作专题辅导会议，重点学习《中华人民共和国政府信息公开条例》等有关政务公开的法律、法规和政策。有针对性地向群众宣传</w:t>
      </w:r>
      <w:r>
        <w:rPr>
          <w:rFonts w:hint="eastAsia" w:ascii="仿宋_GB2312" w:eastAsia="仿宋_GB2312"/>
          <w:szCs w:val="32"/>
        </w:rPr>
        <w:t>开展</w:t>
      </w:r>
      <w:r>
        <w:rPr>
          <w:rFonts w:ascii="仿宋_GB2312" w:eastAsia="仿宋_GB2312"/>
          <w:szCs w:val="32"/>
        </w:rPr>
        <w:t>政务公开的重要意义，克服认识上的障碍，激发广大群众的主人翁意识，提高参与民主管理的积极性</w:t>
      </w:r>
      <w:r>
        <w:rPr>
          <w:rFonts w:hint="eastAsia" w:ascii="仿宋_GB2312" w:eastAsia="仿宋_GB2312"/>
          <w:szCs w:val="32"/>
        </w:rPr>
        <w:t>。</w:t>
      </w:r>
    </w:p>
    <w:p>
      <w:pPr>
        <w:ind w:firstLine="600" w:firstLineChars="200"/>
        <w:jc w:val="left"/>
        <w:rPr>
          <w:rFonts w:ascii="楷体_GB2312" w:hAnsi="黑体" w:eastAsia="楷体_GB2312"/>
          <w:sz w:val="30"/>
          <w:szCs w:val="30"/>
        </w:rPr>
      </w:pPr>
      <w:r>
        <w:rPr>
          <w:rFonts w:hint="eastAsia" w:ascii="楷体_GB2312" w:hAnsi="黑体" w:eastAsia="楷体_GB2312"/>
          <w:sz w:val="30"/>
          <w:szCs w:val="30"/>
        </w:rPr>
        <w:t>（三）人大代表建议和政协委员提案办理结果公开情况</w:t>
      </w:r>
    </w:p>
    <w:p>
      <w:pPr>
        <w:widowControl/>
        <w:jc w:val="left"/>
        <w:rPr>
          <w:rFonts w:ascii="楷体_GB2312" w:hAnsi="黑体" w:eastAsia="楷体_GB2312"/>
          <w:sz w:val="30"/>
          <w:szCs w:val="30"/>
        </w:rPr>
      </w:pPr>
      <w:r>
        <w:rPr>
          <w:rFonts w:ascii="仿宋_GB2312" w:eastAsia="仿宋_GB2312"/>
          <w:szCs w:val="32"/>
        </w:rPr>
        <w:t>2022年，本机关未承办县十八届人大一次会议建议、县政协十五届一次会议提案。</w:t>
      </w:r>
    </w:p>
    <w:p>
      <w:pPr>
        <w:ind w:firstLine="600" w:firstLineChars="200"/>
        <w:jc w:val="left"/>
        <w:rPr>
          <w:rFonts w:ascii="楷体_GB2312" w:hAnsi="黑体" w:eastAsia="楷体_GB2312"/>
          <w:sz w:val="30"/>
          <w:szCs w:val="30"/>
        </w:rPr>
      </w:pPr>
      <w:r>
        <w:rPr>
          <w:rFonts w:hint="eastAsia" w:ascii="楷体_GB2312" w:hAnsi="黑体" w:eastAsia="楷体_GB2312"/>
          <w:sz w:val="30"/>
          <w:szCs w:val="30"/>
        </w:rPr>
        <w:t>（四）政务公开工作创新情况</w:t>
      </w:r>
    </w:p>
    <w:p>
      <w:pPr>
        <w:widowControl/>
        <w:jc w:val="left"/>
        <w:rPr>
          <w:rFonts w:ascii="仿宋_GB2312" w:eastAsia="仿宋_GB2312"/>
          <w:szCs w:val="32"/>
        </w:rPr>
      </w:pPr>
      <w:r>
        <w:rPr>
          <w:rFonts w:ascii="仿宋_GB2312" w:eastAsia="仿宋_GB2312"/>
          <w:szCs w:val="32"/>
        </w:rPr>
        <w:t>根据</w:t>
      </w:r>
      <w:r>
        <w:rPr>
          <w:rFonts w:hint="eastAsia" w:ascii="仿宋_GB2312" w:eastAsia="仿宋_GB2312"/>
          <w:szCs w:val="32"/>
        </w:rPr>
        <w:t>医疗保险、医疗救助</w:t>
      </w:r>
      <w:r>
        <w:rPr>
          <w:rFonts w:ascii="仿宋_GB2312" w:eastAsia="仿宋_GB2312"/>
          <w:szCs w:val="32"/>
        </w:rPr>
        <w:t>等重点民生领域热点问题，认真梳理政策措施、解读民众需求，对民众关于热点问题进行答复的同时，</w:t>
      </w:r>
      <w:r>
        <w:rPr>
          <w:rFonts w:hint="eastAsia" w:ascii="仿宋_GB2312" w:eastAsia="仿宋_GB2312"/>
          <w:szCs w:val="32"/>
        </w:rPr>
        <w:t>利用市级统筹优势在市平台</w:t>
      </w:r>
      <w:r>
        <w:rPr>
          <w:rFonts w:ascii="仿宋_GB2312" w:eastAsia="仿宋_GB2312"/>
          <w:szCs w:val="32"/>
        </w:rPr>
        <w:t>公开相应信息，确保</w:t>
      </w:r>
      <w:r>
        <w:rPr>
          <w:rFonts w:hint="eastAsia" w:ascii="仿宋_GB2312" w:eastAsia="仿宋_GB2312"/>
          <w:szCs w:val="32"/>
        </w:rPr>
        <w:t>了</w:t>
      </w:r>
      <w:r>
        <w:rPr>
          <w:rFonts w:ascii="仿宋_GB2312" w:eastAsia="仿宋_GB2312"/>
          <w:szCs w:val="32"/>
        </w:rPr>
        <w:t>该类问题及时得到解答，</w:t>
      </w:r>
      <w:r>
        <w:rPr>
          <w:rFonts w:hint="eastAsia" w:ascii="仿宋_GB2312" w:eastAsia="仿宋_GB2312"/>
          <w:szCs w:val="32"/>
        </w:rPr>
        <w:t>提高了宣传人群的覆盖面，</w:t>
      </w:r>
      <w:r>
        <w:rPr>
          <w:rFonts w:ascii="仿宋_GB2312" w:eastAsia="仿宋_GB2312"/>
          <w:szCs w:val="32"/>
        </w:rPr>
        <w:t>推动构建高效便民的政务</w:t>
      </w:r>
      <w:r>
        <w:rPr>
          <w:rFonts w:hint="eastAsia" w:ascii="仿宋_GB2312" w:eastAsia="仿宋_GB2312"/>
          <w:szCs w:val="32"/>
        </w:rPr>
        <w:t>公开</w:t>
      </w:r>
      <w:r>
        <w:rPr>
          <w:rFonts w:ascii="仿宋_GB2312" w:eastAsia="仿宋_GB2312"/>
          <w:szCs w:val="32"/>
        </w:rPr>
        <w:t>环境。</w:t>
      </w:r>
    </w:p>
    <w:p>
      <w:pPr>
        <w:ind w:firstLine="600" w:firstLineChars="200"/>
        <w:jc w:val="left"/>
        <w:rPr>
          <w:rFonts w:ascii="楷体_GB2312" w:hAnsi="黑体" w:eastAsia="楷体_GB2312"/>
          <w:sz w:val="30"/>
          <w:szCs w:val="30"/>
        </w:rPr>
      </w:pPr>
      <w:r>
        <w:rPr>
          <w:rFonts w:hint="eastAsia" w:ascii="楷体_GB2312" w:hAnsi="黑体" w:eastAsia="楷体_GB2312"/>
          <w:sz w:val="30"/>
          <w:szCs w:val="30"/>
        </w:rPr>
        <w:t>（五）有关数据统计说明</w:t>
      </w:r>
    </w:p>
    <w:p>
      <w:pPr>
        <w:spacing w:line="560" w:lineRule="exact"/>
        <w:ind w:firstLine="640" w:firstLineChars="200"/>
        <w:rPr>
          <w:rFonts w:ascii="仿宋_GB2312" w:eastAsia="仿宋_GB2312"/>
          <w:szCs w:val="32"/>
        </w:rPr>
      </w:pPr>
      <w:r>
        <w:rPr>
          <w:rFonts w:hint="eastAsia" w:ascii="仿宋_GB2312" w:eastAsia="仿宋_GB2312"/>
          <w:szCs w:val="32"/>
        </w:rPr>
        <w:t>1.报告中所列数据可能因四舍五入原因与数据直接相加之和存在尾数差异。</w:t>
      </w:r>
    </w:p>
    <w:p>
      <w:pPr>
        <w:spacing w:line="560" w:lineRule="exact"/>
        <w:ind w:firstLine="640" w:firstLineChars="200"/>
        <w:rPr>
          <w:rFonts w:ascii="仿宋_GB2312" w:eastAsia="仿宋_GB2312"/>
          <w:szCs w:val="32"/>
        </w:rPr>
      </w:pPr>
      <w:r>
        <w:rPr>
          <w:rFonts w:hint="eastAsia" w:ascii="仿宋_GB2312" w:eastAsia="仿宋_GB2312"/>
          <w:szCs w:val="32"/>
        </w:rPr>
        <w:t>2.行政许可数量、行政处罚和行政强制数量，包括已公开和依法未公开的全部处理决定。</w:t>
      </w:r>
    </w:p>
    <w:p>
      <w:pPr>
        <w:spacing w:line="560" w:lineRule="exact"/>
        <w:ind w:firstLine="640" w:firstLineChars="200"/>
        <w:rPr>
          <w:rFonts w:ascii="黑体" w:hAnsi="黑体" w:eastAsia="黑体"/>
          <w:sz w:val="30"/>
          <w:szCs w:val="30"/>
        </w:rPr>
      </w:pPr>
      <w:r>
        <w:rPr>
          <w:rFonts w:hint="eastAsia" w:ascii="仿宋_GB2312" w:eastAsia="仿宋_GB2312"/>
          <w:szCs w:val="32"/>
        </w:rPr>
        <w:t>3.行政复议机关作为共同被告的行政诉讼案件，只计算原行为主体的案件数量，不计算行政复议机关的案件数量。</w:t>
      </w:r>
    </w:p>
    <w:p>
      <w:pPr>
        <w:ind w:firstLine="640" w:firstLineChars="200"/>
        <w:jc w:val="left"/>
        <w:rPr>
          <w:rFonts w:ascii="仿宋_GB2312" w:eastAsia="仿宋_GB2312"/>
        </w:rPr>
      </w:pPr>
    </w:p>
    <w:p>
      <w:pPr>
        <w:spacing w:line="560" w:lineRule="exact"/>
        <w:ind w:firstLine="600" w:firstLineChars="200"/>
        <w:rPr>
          <w:rFonts w:ascii="楷体_GB2312" w:hAnsi="黑体" w:eastAsia="楷体_GB2312"/>
          <w:sz w:val="30"/>
          <w:szCs w:val="30"/>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2E3543"/>
    <w:rsid w:val="000164E6"/>
    <w:rsid w:val="00024945"/>
    <w:rsid w:val="00110130"/>
    <w:rsid w:val="00117200"/>
    <w:rsid w:val="00117733"/>
    <w:rsid w:val="00121DCF"/>
    <w:rsid w:val="00211942"/>
    <w:rsid w:val="002133C7"/>
    <w:rsid w:val="002E3543"/>
    <w:rsid w:val="003B5255"/>
    <w:rsid w:val="003E75A6"/>
    <w:rsid w:val="00415AB1"/>
    <w:rsid w:val="004622F8"/>
    <w:rsid w:val="004C1750"/>
    <w:rsid w:val="00515DB1"/>
    <w:rsid w:val="00523855"/>
    <w:rsid w:val="00591E5D"/>
    <w:rsid w:val="005C0F41"/>
    <w:rsid w:val="0065765D"/>
    <w:rsid w:val="00670301"/>
    <w:rsid w:val="00673AC7"/>
    <w:rsid w:val="00704FCD"/>
    <w:rsid w:val="008C4ED2"/>
    <w:rsid w:val="008F6335"/>
    <w:rsid w:val="009B028C"/>
    <w:rsid w:val="00A056A7"/>
    <w:rsid w:val="00B94629"/>
    <w:rsid w:val="00C542CC"/>
    <w:rsid w:val="00C67940"/>
    <w:rsid w:val="00C73BD0"/>
    <w:rsid w:val="00CB5F31"/>
    <w:rsid w:val="00CC2BE7"/>
    <w:rsid w:val="00CC521B"/>
    <w:rsid w:val="00CD1D00"/>
    <w:rsid w:val="00D971CD"/>
    <w:rsid w:val="00DE271F"/>
    <w:rsid w:val="00EA0721"/>
    <w:rsid w:val="00EF5607"/>
    <w:rsid w:val="00FA216A"/>
    <w:rsid w:val="00FD5381"/>
    <w:rsid w:val="287230B1"/>
    <w:rsid w:val="6FBF2030"/>
    <w:rsid w:val="794E1088"/>
    <w:rsid w:val="7E3F9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pacing w:line="240" w:lineRule="atLeast"/>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pacing w:line="240" w:lineRule="atLeast"/>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Times New Roman" w:hAnsi="Times New Roman" w:eastAsia="方正仿宋_GBK" w:cs="Times New Roman"/>
      <w:snapToGrid w:val="0"/>
      <w:kern w:val="0"/>
      <w:sz w:val="18"/>
      <w:szCs w:val="18"/>
    </w:rPr>
  </w:style>
  <w:style w:type="character" w:customStyle="1" w:styleId="9">
    <w:name w:val="页脚 Char"/>
    <w:basedOn w:val="7"/>
    <w:link w:val="3"/>
    <w:qFormat/>
    <w:uiPriority w:val="99"/>
    <w:rPr>
      <w:rFonts w:ascii="Times New Roman" w:hAnsi="Times New Roman" w:eastAsia="方正仿宋_GBK" w:cs="Times New Roman"/>
      <w:snapToGrid w:val="0"/>
      <w:kern w:val="0"/>
      <w:sz w:val="18"/>
      <w:szCs w:val="18"/>
    </w:rPr>
  </w:style>
  <w:style w:type="character" w:customStyle="1" w:styleId="10">
    <w:name w:val="批注框文本 Char"/>
    <w:basedOn w:val="7"/>
    <w:link w:val="2"/>
    <w:semiHidden/>
    <w:uiPriority w:val="99"/>
    <w:rPr>
      <w:rFonts w:eastAsia="方正仿宋_GBK"/>
      <w:snapToGrid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8</Pages>
  <Words>597</Words>
  <Characters>3408</Characters>
  <Lines>28</Lines>
  <Paragraphs>7</Paragraphs>
  <TotalTime>39</TotalTime>
  <ScaleCrop>false</ScaleCrop>
  <LinksUpToDate>false</LinksUpToDate>
  <CharactersWithSpaces>3998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2022-01-02T17:04:00Z</dcterms:created>
  <dc:creator>lb</dc:creator>
  <cp:lastModifiedBy>Administrator</cp:lastModifiedBy>
  <dcterms:modified xsi:type="dcterms:W3CDTF">2024-03-14T07:40:55Z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AC46B9EFA39D47389D3F3F0FAEC635D3</vt:lpwstr>
  </property>
</Properties>
</file>