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sz w:val="32"/>
        </w:rPr>
      </w:pPr>
    </w:p>
    <w:p>
      <w:pPr>
        <w:overflowPunct w:val="0"/>
        <w:spacing w:line="580" w:lineRule="exact"/>
        <w:rPr>
          <w:sz w:val="32"/>
        </w:rPr>
      </w:pPr>
    </w:p>
    <w:p>
      <w:pPr>
        <w:overflowPunct w:val="0"/>
        <w:spacing w:line="580" w:lineRule="exact"/>
        <w:rPr>
          <w:sz w:val="32"/>
        </w:rPr>
      </w:pPr>
    </w:p>
    <w:p>
      <w:pPr>
        <w:spacing w:line="1500" w:lineRule="exact"/>
        <w:jc w:val="center"/>
        <w:rPr>
          <w:rFonts w:ascii="方正小标宋简体" w:eastAsia="方正小标宋简体"/>
          <w:color w:val="FF0000"/>
          <w:spacing w:val="20"/>
          <w:w w:val="66"/>
          <w:sz w:val="140"/>
          <w:szCs w:val="140"/>
        </w:rPr>
      </w:pPr>
      <w:r>
        <w:rPr>
          <w:rFonts w:hint="eastAsia" w:ascii="方正小标宋简体" w:eastAsia="方正小标宋简体"/>
          <w:color w:val="FF0000"/>
          <w:spacing w:val="20"/>
          <w:w w:val="66"/>
          <w:sz w:val="140"/>
          <w:szCs w:val="140"/>
        </w:rPr>
        <w:t>山东省财政厅文件</w:t>
      </w:r>
    </w:p>
    <w:p>
      <w:pPr>
        <w:overflowPunct w:val="0"/>
        <w:spacing w:line="580" w:lineRule="exact"/>
        <w:jc w:val="center"/>
        <w:rPr>
          <w:sz w:val="32"/>
        </w:rPr>
      </w:pPr>
    </w:p>
    <w:p>
      <w:pPr>
        <w:overflowPunct w:val="0"/>
        <w:spacing w:line="580" w:lineRule="exact"/>
        <w:jc w:val="center"/>
        <w:rPr>
          <w:rFonts w:eastAsia="仿宋_GB2312"/>
          <w:sz w:val="32"/>
        </w:rPr>
      </w:pPr>
    </w:p>
    <w:p>
      <w:pPr>
        <w:overflowPunct w:val="0"/>
        <w:spacing w:line="580" w:lineRule="exact"/>
        <w:jc w:val="center"/>
        <w:rPr>
          <w:rFonts w:ascii="仿宋_GB2312" w:hAnsi="宋体" w:eastAsia="仿宋_GB2312"/>
          <w:color w:val="000000"/>
          <w:sz w:val="32"/>
        </w:rPr>
      </w:pPr>
      <w:bookmarkStart w:id="0" w:name="FileNo"/>
      <w:r>
        <w:rPr>
          <w:rFonts w:hint="eastAsia" w:ascii="仿宋_GB2312" w:hAnsi="宋体" w:eastAsia="仿宋_GB2312"/>
          <w:color w:val="000000"/>
          <w:sz w:val="32"/>
        </w:rPr>
        <w:t>鲁财税〔2023〕1号</w:t>
      </w:r>
      <w:bookmarkEnd w:id="0"/>
    </w:p>
    <w:p>
      <w:pPr>
        <w:spacing w:line="580" w:lineRule="exact"/>
        <w:jc w:val="center"/>
        <w:rPr>
          <w:rFonts w:ascii="宋体" w:hAnsi="宋体" w:eastAsia="仿宋_GB2312"/>
          <w:sz w:val="32"/>
        </w:rPr>
      </w:pPr>
      <w:r>
        <w:rPr>
          <w:rFonts w:ascii="宋体" w:hAnsi="宋体" w:eastAsia="仿宋_GB2312"/>
          <w:sz w:val="20"/>
        </w:rPr>
        <w:pict>
          <v:line id="直线 6" o:spid="_x0000_s1026" o:spt="20" style="position:absolute;left:0pt;margin-left:-5.25pt;margin-top:5.4pt;height:0pt;width:462pt;z-index:251659264;mso-width-relative:page;mso-height-relative:page;" stroked="t" coordsize="21600,21600" o:gfxdata="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c6kX9UAAAAJAQAADwAAAAAAAAABACAAAAAiAAAA&#10;ZHJzL2Rvd25yZXYueG1sUEsBAhQAFAAAAAgAh07iQOmOlNPRAQAAjgMAAA4AAAAAAAAAAQAgAAAA&#10;JAEAAGRycy9lMm9Eb2MueG1sUEsFBgAAAAAGAAYAWQEAAGcFAAAAAA==&#10;">
            <v:path arrowok="t"/>
            <v:fill focussize="0,0"/>
            <v:stroke weight="2.25pt" color="#FF0000"/>
            <v:imagedata o:title=""/>
            <o:lock v:ext="edit"/>
          </v:line>
        </w:pict>
      </w:r>
    </w:p>
    <w:p>
      <w:pPr>
        <w:overflowPunct w:val="0"/>
        <w:spacing w:line="580" w:lineRule="exact"/>
        <w:jc w:val="center"/>
        <w:rPr>
          <w:rFonts w:ascii="宋体" w:hAnsi="宋体"/>
          <w:sz w:val="32"/>
        </w:rPr>
      </w:pPr>
    </w:p>
    <w:p>
      <w:pPr>
        <w:overflowPunct w:val="0"/>
        <w:spacing w:line="58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山东省财政厅</w:t>
      </w:r>
    </w:p>
    <w:p>
      <w:pPr>
        <w:tabs>
          <w:tab w:val="left" w:pos="7350"/>
        </w:tabs>
        <w:overflowPunct w:val="0"/>
        <w:spacing w:line="58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关于进一步规范城市基础设施配套费</w:t>
      </w:r>
    </w:p>
    <w:p>
      <w:pPr>
        <w:tabs>
          <w:tab w:val="left" w:pos="7350"/>
        </w:tabs>
        <w:overflowPunct w:val="0"/>
        <w:spacing w:line="58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有关事项的通知</w:t>
      </w:r>
    </w:p>
    <w:p>
      <w:pPr>
        <w:overflowPunct w:val="0"/>
        <w:spacing w:line="580" w:lineRule="exact"/>
        <w:jc w:val="center"/>
        <w:rPr>
          <w:rFonts w:ascii="宋体" w:hAnsi="宋体"/>
          <w:sz w:val="32"/>
        </w:rPr>
      </w:pPr>
    </w:p>
    <w:p>
      <w:pPr>
        <w:overflowPunct w:val="0"/>
        <w:spacing w:line="580" w:lineRule="exact"/>
        <w:rPr>
          <w:rFonts w:ascii="仿宋_GB2312" w:hAnsi="宋体" w:eastAsia="仿宋_GB2312"/>
          <w:sz w:val="32"/>
        </w:rPr>
      </w:pPr>
      <w:r>
        <w:rPr>
          <w:rFonts w:hint="eastAsia" w:ascii="仿宋_GB2312" w:hAnsi="宋体" w:eastAsia="仿宋_GB2312"/>
          <w:color w:val="000000"/>
          <w:sz w:val="32"/>
        </w:rPr>
        <w:t>各市财政局</w:t>
      </w:r>
      <w:r>
        <w:rPr>
          <w:rFonts w:hint="eastAsia" w:ascii="仿宋_GB2312" w:eastAsia="仿宋_GB2312"/>
          <w:sz w:val="32"/>
          <w:szCs w:val="32"/>
        </w:rPr>
        <w:t>：</w:t>
      </w:r>
    </w:p>
    <w:p>
      <w:pPr>
        <w:overflowPunct w:val="0"/>
        <w:spacing w:line="580" w:lineRule="exact"/>
        <w:ind w:firstLine="636"/>
        <w:rPr>
          <w:rFonts w:ascii="仿宋_GB2312" w:hAnsi="宋体" w:eastAsia="仿宋_GB2312"/>
          <w:sz w:val="32"/>
        </w:rPr>
      </w:pPr>
      <w:r>
        <w:rPr>
          <w:rFonts w:hint="eastAsia" w:ascii="仿宋_GB2312" w:hAnsi="宋体" w:eastAsia="仿宋_GB2312"/>
          <w:sz w:val="32"/>
        </w:rPr>
        <w:t>为进一步规范我省城市基础设施配套费政策，根据</w:t>
      </w:r>
      <w:r>
        <w:rPr>
          <w:rFonts w:hint="eastAsia" w:ascii="仿宋_GB2312" w:hAnsi="黑体" w:eastAsia="仿宋_GB2312"/>
          <w:sz w:val="32"/>
        </w:rPr>
        <w:t>《国务院批转国家计委关于加强房地产价格调控加快住房建设意见的通知》（国发</w:t>
      </w:r>
      <w:r>
        <w:rPr>
          <w:rFonts w:hint="eastAsia" w:ascii="仿宋_GB2312" w:hAnsi="宋体" w:eastAsia="仿宋_GB2312"/>
          <w:sz w:val="32"/>
        </w:rPr>
        <w:t>〔1998〕34号</w:t>
      </w:r>
      <w:r>
        <w:rPr>
          <w:rFonts w:hint="eastAsia" w:ascii="仿宋_GB2312" w:hAnsi="黑体" w:eastAsia="仿宋_GB2312"/>
          <w:sz w:val="32"/>
        </w:rPr>
        <w:t>）、</w:t>
      </w:r>
      <w:r>
        <w:rPr>
          <w:rFonts w:hint="eastAsia" w:ascii="仿宋_GB2312" w:hAnsi="宋体" w:eastAsia="仿宋_GB2312"/>
          <w:sz w:val="32"/>
        </w:rPr>
        <w:t>《国务院办公厅转发国家发展改革委等部门关于清理规范城镇供水供电供气供暖行业收费促进行业高质量发展意见的通知》（国办函〔2020〕129号）和《财政部关于城市基础设施配套费性质的批复》（财综函〔2002〕3号）、《财政部关于印发〈政府性基金管理暂行办法〉的通知》（财综〔2010〕80号）、《财政部关于进一步加强行政事业性收费和政府性基金管理的通知》（财税〔2015〕30号）等规定，现将我省城市基础设施配套费有关事项通知如下：</w:t>
      </w:r>
    </w:p>
    <w:p>
      <w:pPr>
        <w:numPr>
          <w:ilvl w:val="0"/>
          <w:numId w:val="1"/>
        </w:numPr>
        <w:overflowPunct w:val="0"/>
        <w:spacing w:line="580" w:lineRule="exact"/>
        <w:ind w:firstLine="640" w:firstLineChars="200"/>
        <w:rPr>
          <w:rFonts w:ascii="黑体" w:hAnsi="黑体" w:eastAsia="黑体"/>
          <w:sz w:val="32"/>
        </w:rPr>
      </w:pPr>
      <w:r>
        <w:rPr>
          <w:rFonts w:hint="eastAsia" w:ascii="黑体" w:hAnsi="黑体" w:eastAsia="黑体"/>
          <w:sz w:val="32"/>
        </w:rPr>
        <w:t>政策边界</w:t>
      </w:r>
    </w:p>
    <w:p>
      <w:pPr>
        <w:overflowPunct w:val="0"/>
        <w:spacing w:line="580" w:lineRule="exact"/>
        <w:ind w:firstLine="640" w:firstLineChars="200"/>
        <w:rPr>
          <w:rFonts w:ascii="仿宋_GB2312" w:hAnsi="宋体" w:eastAsia="仿宋_GB2312"/>
          <w:sz w:val="32"/>
        </w:rPr>
      </w:pPr>
      <w:r>
        <w:rPr>
          <w:rFonts w:hint="eastAsia" w:ascii="仿宋_GB2312" w:hAnsi="黑体" w:eastAsia="仿宋_GB2312"/>
          <w:sz w:val="32"/>
        </w:rPr>
        <w:t>城市基础设施配套费是各市人民政府向城镇规划建设用地范围内的新建、扩建和改建工程项目强制征收的，用于</w:t>
      </w:r>
      <w:r>
        <w:rPr>
          <w:rFonts w:hint="eastAsia" w:ascii="仿宋_GB2312" w:hAnsi="宋体" w:eastAsia="仿宋_GB2312"/>
          <w:sz w:val="32"/>
        </w:rPr>
        <w:t>建筑区划红线外城市道路、桥梁、绿化、环卫、供水、供气、供暖等相关</w:t>
      </w:r>
      <w:r>
        <w:rPr>
          <w:rFonts w:hint="eastAsia" w:ascii="仿宋_GB2312" w:hAnsi="黑体" w:eastAsia="仿宋_GB2312"/>
          <w:sz w:val="32"/>
        </w:rPr>
        <w:t>城市基础设施建设的政府性基金。根据</w:t>
      </w:r>
      <w:r>
        <w:rPr>
          <w:rFonts w:hint="eastAsia" w:ascii="仿宋_GB2312" w:hAnsi="宋体" w:eastAsia="仿宋_GB2312"/>
          <w:sz w:val="32"/>
        </w:rPr>
        <w:t>国办函〔2020〕129号文件规定，建筑区划红线内供水供电供气供暖管线及配套设备设施的建设安装费用统一纳入房屋（工程）开发建设成本。</w:t>
      </w:r>
    </w:p>
    <w:p>
      <w:pPr>
        <w:numPr>
          <w:ilvl w:val="0"/>
          <w:numId w:val="1"/>
        </w:numPr>
        <w:overflowPunct w:val="0"/>
        <w:spacing w:line="580" w:lineRule="exact"/>
        <w:ind w:firstLine="640" w:firstLineChars="200"/>
        <w:rPr>
          <w:rFonts w:ascii="黑体" w:hAnsi="黑体" w:eastAsia="黑体"/>
          <w:sz w:val="32"/>
        </w:rPr>
      </w:pPr>
      <w:r>
        <w:rPr>
          <w:rFonts w:hint="eastAsia" w:ascii="黑体" w:hAnsi="黑体" w:eastAsia="黑体"/>
          <w:sz w:val="32"/>
        </w:rPr>
        <w:t>征收范围</w:t>
      </w:r>
    </w:p>
    <w:p>
      <w:pPr>
        <w:numPr>
          <w:ilvl w:val="0"/>
          <w:numId w:val="2"/>
        </w:numPr>
        <w:overflowPunct w:val="0"/>
        <w:spacing w:line="580" w:lineRule="exact"/>
        <w:ind w:firstLine="640" w:firstLineChars="200"/>
        <w:rPr>
          <w:rFonts w:ascii="仿宋_GB2312" w:hAnsi="宋体" w:eastAsia="仿宋_GB2312"/>
          <w:sz w:val="32"/>
        </w:rPr>
      </w:pPr>
      <w:r>
        <w:rPr>
          <w:rFonts w:hint="eastAsia" w:ascii="仿宋_GB2312" w:hAnsi="黑体" w:eastAsia="仿宋_GB2312"/>
          <w:sz w:val="32"/>
        </w:rPr>
        <w:t>根据国家</w:t>
      </w:r>
      <w:r>
        <w:rPr>
          <w:rFonts w:hint="eastAsia" w:ascii="仿宋_GB2312" w:hAnsi="宋体" w:eastAsia="仿宋_GB2312"/>
          <w:sz w:val="32"/>
        </w:rPr>
        <w:t>规定，城市基础设施配套费由原来已开征的各类市政建设专项配套费整顿归并而成，在征收、减免、支出等环节，城市基础设施配套费均作为一个政府性基金项目管理，不得再分为综合配套费和专项配套费。</w:t>
      </w:r>
    </w:p>
    <w:p>
      <w:pPr>
        <w:numPr>
          <w:ilvl w:val="0"/>
          <w:numId w:val="2"/>
        </w:num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各市原有城市基础设施配套费政策文件中已包括供热、供气、供水等配套建设相关内容且已明确专项配套费征收标准的，应统一并入城市基础设施配套费，纳入政府性基金管理。</w:t>
      </w:r>
    </w:p>
    <w:p>
      <w:p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（三）由专营企业按照市场化原则向工程建设单位和个人（开发商）收取的经营服务性收费，属于专营企业收入，应开具税务发票，不得使用非税收入票据。</w:t>
      </w:r>
    </w:p>
    <w:p>
      <w:p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（四）根据《山东省人民政府关于取消部分行政事业性收费项目的通知》（</w:t>
      </w:r>
      <w:r>
        <w:rPr>
          <w:rFonts w:hint="eastAsia" w:ascii="仿宋_GB2312" w:hAnsi="仿宋_GB2312" w:eastAsia="仿宋_GB2312" w:cs="仿宋_GB2312"/>
          <w:sz w:val="32"/>
        </w:rPr>
        <w:t>鲁政发〔</w:t>
      </w:r>
      <w:r>
        <w:rPr>
          <w:rFonts w:ascii="仿宋_GB2312" w:hAnsi="仿宋_GB2312" w:eastAsia="仿宋_GB2312" w:cs="仿宋_GB2312"/>
          <w:sz w:val="32"/>
        </w:rPr>
        <w:t>2003〕5号</w:t>
      </w:r>
      <w:r>
        <w:rPr>
          <w:rFonts w:hint="eastAsia" w:ascii="仿宋_GB2312" w:hAnsi="仿宋_GB2312" w:eastAsia="仿宋_GB2312" w:cs="仿宋_GB2312"/>
          <w:sz w:val="32"/>
        </w:rPr>
        <w:t>）</w:t>
      </w:r>
      <w:r>
        <w:rPr>
          <w:rFonts w:hint="eastAsia" w:ascii="仿宋_GB2312" w:hAnsi="宋体" w:eastAsia="仿宋_GB2312"/>
          <w:sz w:val="32"/>
        </w:rPr>
        <w:t>规定，各市已开征小城镇基础设施配套费的，仍按规定并入城市基础设施配套费管理，未开征的地区不得开征。</w:t>
      </w:r>
    </w:p>
    <w:p>
      <w:p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（五）城镇老旧小区等已建成的项目不属于城市基础设施配套费的征收范围，不得征收城市基础设施配套费。</w:t>
      </w:r>
    </w:p>
    <w:p>
      <w:pPr>
        <w:overflowPunct w:val="0"/>
        <w:spacing w:line="580" w:lineRule="exact"/>
        <w:ind w:firstLine="640" w:firstLineChars="200"/>
        <w:rPr>
          <w:rFonts w:ascii="黑体" w:hAnsi="黑体" w:eastAsia="黑体"/>
          <w:sz w:val="32"/>
        </w:rPr>
      </w:pPr>
      <w:r>
        <w:rPr>
          <w:rFonts w:hint="eastAsia" w:ascii="黑体" w:hAnsi="黑体" w:eastAsia="黑体"/>
          <w:sz w:val="32"/>
        </w:rPr>
        <w:t>三、征收管理</w:t>
      </w:r>
    </w:p>
    <w:p>
      <w:p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（一）各级财政部门是城市基础设施配套费管理的职能部门，牵头城市基础设施配套费的政策制定和预算管理工作。</w:t>
      </w:r>
    </w:p>
    <w:p>
      <w:p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（二）各级征收部门负责城市基础设施配套费的征收、催缴、减免等事项。</w:t>
      </w:r>
    </w:p>
    <w:p>
      <w:p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（三）各级征收部门应严格落实征管职责和规定，不得随意委托其他单位和组织代征城市基础设施配套费，也不得将专营单位收取的经营服务性收费纳入城市基础设施配套费管理。</w:t>
      </w:r>
    </w:p>
    <w:p>
      <w:p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四）已征收过城市基础设施配套费项目的地区，不得重复征收城市基础设施配套相关费用。任何建设单位和专营单位不得以“城市基础设施配套费”或“专项配套费”的名义向用户收取供水、供电、供热、供气等相关配套建设费用。</w:t>
      </w:r>
    </w:p>
    <w:p>
      <w:pPr>
        <w:overflowPunct w:val="0"/>
        <w:spacing w:line="580" w:lineRule="exact"/>
        <w:ind w:firstLine="640" w:firstLineChars="200"/>
        <w:rPr>
          <w:rFonts w:ascii="黑体" w:hAnsi="黑体" w:eastAsia="黑体"/>
          <w:sz w:val="32"/>
        </w:rPr>
      </w:pPr>
      <w:r>
        <w:rPr>
          <w:rFonts w:hint="eastAsia" w:ascii="黑体" w:hAnsi="黑体" w:eastAsia="黑体"/>
          <w:sz w:val="32"/>
        </w:rPr>
        <w:t>四、征收标准</w:t>
      </w:r>
    </w:p>
    <w:p>
      <w:p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根据我省城市基础设施配套费历史沿革和征收实际，我省各市县城市基础设施配套费征收标准，由设区市人民政府根据当地经济发展实际和市场主体承受能力等因素确定。各市财政部门应积极发挥职能作用，会同住房城乡建设或行政审批等部门提出征收标准建议。各市城市基础设施配套费征收标准调整前应通过座谈会、听证会等形式公开征求意见。</w:t>
      </w:r>
    </w:p>
    <w:p>
      <w:pPr>
        <w:numPr>
          <w:ilvl w:val="0"/>
          <w:numId w:val="3"/>
        </w:numPr>
        <w:overflowPunct w:val="0"/>
        <w:spacing w:line="580" w:lineRule="exact"/>
        <w:ind w:firstLine="636"/>
        <w:rPr>
          <w:rFonts w:ascii="黑体" w:hAnsi="黑体" w:eastAsia="黑体"/>
          <w:sz w:val="32"/>
        </w:rPr>
      </w:pPr>
      <w:r>
        <w:rPr>
          <w:rFonts w:hint="eastAsia" w:ascii="黑体" w:hAnsi="黑体" w:eastAsia="黑体"/>
          <w:sz w:val="32"/>
        </w:rPr>
        <w:t>减免管理</w:t>
      </w:r>
    </w:p>
    <w:p>
      <w:pPr>
        <w:numPr>
          <w:ilvl w:val="0"/>
          <w:numId w:val="4"/>
        </w:num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根据财综〔2010〕80号和财税〔2015〕30号文件规定，除法律、行政法规和国家规定外，各级人民政府及其部门、单位均不得改变城市基础设施配套费征收对象、调整征收范围及期限，不得减征、免征、缓征、停征或者撤销城市基础设施配套费。</w:t>
      </w:r>
    </w:p>
    <w:p>
      <w:pPr>
        <w:numPr>
          <w:ilvl w:val="0"/>
          <w:numId w:val="4"/>
        </w:num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各级应严格按规定落实城市基础设施配套费减免政策，不得随意调整减免范围和时限，不得以任何借口拒绝和变更执行。具体减免政策规定详见附件。</w:t>
      </w:r>
    </w:p>
    <w:p>
      <w:pPr>
        <w:overflowPunct w:val="0"/>
        <w:spacing w:line="580" w:lineRule="exact"/>
        <w:ind w:left="636"/>
        <w:rPr>
          <w:rFonts w:ascii="仿宋_GB2312" w:hAnsi="宋体" w:eastAsia="仿宋_GB2312"/>
          <w:sz w:val="32"/>
        </w:rPr>
      </w:pPr>
      <w:r>
        <w:rPr>
          <w:rFonts w:hint="eastAsia" w:ascii="黑体" w:hAnsi="黑体" w:eastAsia="黑体"/>
          <w:sz w:val="32"/>
        </w:rPr>
        <w:t>六、票据和资金管理</w:t>
      </w:r>
    </w:p>
    <w:p>
      <w:pPr>
        <w:numPr>
          <w:ilvl w:val="0"/>
          <w:numId w:val="5"/>
        </w:num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各级征收部门在征收城市基础设施配套费时，应开具省财政厅统一监制的山东省财政票据（电子），相关收入通过山东省非税收入征收和财政票据信息管理系统全额缴入同级国库。</w:t>
      </w:r>
    </w:p>
    <w:p>
      <w:pPr>
        <w:numPr>
          <w:ilvl w:val="0"/>
          <w:numId w:val="5"/>
        </w:numPr>
        <w:overflowPunct w:val="0"/>
        <w:spacing w:line="580" w:lineRule="exact"/>
        <w:ind w:firstLine="640" w:firstLineChars="200"/>
        <w:rPr>
          <w:rFonts w:ascii="仿宋_GB2312" w:hAnsi="宋体" w:eastAsia="仿宋_GB2312"/>
          <w:sz w:val="32"/>
        </w:rPr>
      </w:pPr>
      <w:r>
        <w:rPr>
          <w:rFonts w:hint="eastAsia" w:ascii="仿宋_GB2312" w:hAnsi="宋体" w:eastAsia="仿宋_GB2312"/>
          <w:sz w:val="32"/>
        </w:rPr>
        <w:t>城市基础设施配套费纳入政府性基金预算管理，各级相关职能部门负责提出城市基础设施配套费收支预算建议，各市财政部门负责城市基础设施配套费预算管理。</w:t>
      </w:r>
    </w:p>
    <w:p>
      <w:pPr>
        <w:overflowPunct w:val="0"/>
        <w:spacing w:line="580" w:lineRule="exact"/>
        <w:ind w:left="636"/>
        <w:rPr>
          <w:rFonts w:ascii="黑体" w:hAnsi="黑体" w:eastAsia="黑体"/>
          <w:sz w:val="32"/>
        </w:rPr>
      </w:pPr>
      <w:r>
        <w:rPr>
          <w:rFonts w:hint="eastAsia" w:ascii="黑体" w:hAnsi="黑体" w:eastAsia="黑体"/>
          <w:sz w:val="32"/>
        </w:rPr>
        <w:t>七、监督管理</w:t>
      </w:r>
    </w:p>
    <w:p>
      <w:pPr>
        <w:numPr>
          <w:ilvl w:val="0"/>
          <w:numId w:val="6"/>
        </w:numPr>
        <w:overflowPunct w:val="0"/>
        <w:spacing w:line="580" w:lineRule="exact"/>
        <w:ind w:left="12" w:firstLine="618"/>
        <w:rPr>
          <w:rFonts w:ascii="仿宋_GB2312" w:hAnsi="仿宋_GB2312" w:eastAsia="仿宋_GB2312" w:cs="仿宋_GB2312"/>
          <w:sz w:val="32"/>
        </w:rPr>
      </w:pPr>
      <w:r>
        <w:rPr>
          <w:rFonts w:hint="eastAsia" w:ascii="仿宋_GB2312" w:hAnsi="仿宋_GB2312" w:eastAsia="仿宋_GB2312" w:cs="仿宋_GB2312"/>
          <w:sz w:val="32"/>
        </w:rPr>
        <w:t>各级财政部门、城市基础设施配套费的征收部门、执收单位、使用单位应当严格按照规定征收、使用和管理城市基础设施配套费。</w:t>
      </w:r>
    </w:p>
    <w:p>
      <w:pPr>
        <w:numPr>
          <w:ilvl w:val="0"/>
          <w:numId w:val="6"/>
        </w:numPr>
        <w:overflowPunct w:val="0"/>
        <w:spacing w:line="580" w:lineRule="exact"/>
        <w:ind w:left="12" w:firstLine="618"/>
        <w:rPr>
          <w:rFonts w:ascii="仿宋_GB2312" w:hAnsi="仿宋_GB2312" w:eastAsia="仿宋_GB2312" w:cs="仿宋_GB2312"/>
          <w:sz w:val="32"/>
        </w:rPr>
      </w:pPr>
      <w:r>
        <w:rPr>
          <w:rFonts w:hint="eastAsia" w:ascii="仿宋_GB2312" w:hAnsi="仿宋_GB2312" w:eastAsia="仿宋_GB2312" w:cs="仿宋_GB2312"/>
          <w:sz w:val="32"/>
        </w:rPr>
        <w:t>各级财政部门应按照规定加强城市基础设施配套费的收支管理及其财政票据使用情况的监督检查。对未按规定的征收对象、范围、标准征收城市基础设施配套费的，公民、法人和其他组织有权拒绝缴纳并向财政等部门举报，各级财政部门应当会同有关部门予以纠正。</w:t>
      </w:r>
    </w:p>
    <w:p>
      <w:pPr>
        <w:numPr>
          <w:ilvl w:val="0"/>
          <w:numId w:val="6"/>
        </w:numPr>
        <w:overflowPunct w:val="0"/>
        <w:spacing w:line="580" w:lineRule="exact"/>
        <w:ind w:left="12" w:firstLine="618"/>
        <w:rPr>
          <w:rFonts w:ascii="仿宋_GB2312" w:hAnsi="仿宋_GB2312" w:eastAsia="仿宋_GB2312" w:cs="仿宋_GB2312"/>
          <w:sz w:val="32"/>
        </w:rPr>
      </w:pPr>
      <w:r>
        <w:rPr>
          <w:rFonts w:hint="eastAsia" w:ascii="仿宋_GB2312" w:hAnsi="仿宋_GB2312" w:eastAsia="仿宋_GB2312" w:cs="仿宋_GB2312"/>
          <w:sz w:val="32"/>
        </w:rPr>
        <w:t>对于违反规定征收、缴纳、管理和使用城市基础设施配套费等行为，</w:t>
      </w:r>
      <w:r>
        <w:rPr>
          <w:rFonts w:hint="eastAsia" w:ascii="仿宋_GB2312" w:eastAsia="仿宋_GB2312" w:cs="仿宋_GB2312"/>
          <w:sz w:val="32"/>
          <w:szCs w:val="32"/>
        </w:rPr>
        <w:t>依照《中华人民共和国预算法》、《中华人民共和国预算法实施条例》、《财政违法行为处罚处分条例》（国务院令第427号）、《违反行政事业性收费和罚没收入收支两条线管理规定行政处分暂行规定》（国务院令第</w:t>
      </w:r>
      <w:r>
        <w:rPr>
          <w:rFonts w:ascii="仿宋_GB2312" w:eastAsia="仿宋_GB2312" w:cs="仿宋_GB2312"/>
          <w:sz w:val="32"/>
          <w:szCs w:val="32"/>
        </w:rPr>
        <w:t>281</w:t>
      </w:r>
      <w:r>
        <w:rPr>
          <w:rFonts w:hint="eastAsia" w:ascii="仿宋_GB2312" w:eastAsia="仿宋_GB2312" w:cs="仿宋_GB2312"/>
          <w:sz w:val="32"/>
          <w:szCs w:val="32"/>
        </w:rPr>
        <w:t>号）等有关规定追究法律责任。</w:t>
      </w:r>
    </w:p>
    <w:p>
      <w:pPr>
        <w:overflowPunct w:val="0"/>
        <w:spacing w:line="580" w:lineRule="exact"/>
        <w:ind w:firstLine="640"/>
        <w:rPr>
          <w:rFonts w:ascii="仿宋_GB2312" w:hAnsi="仿宋_GB2312" w:eastAsia="仿宋_GB2312" w:cs="仿宋_GB2312"/>
          <w:sz w:val="32"/>
        </w:rPr>
      </w:pPr>
      <w:r>
        <w:rPr>
          <w:rFonts w:hint="eastAsia" w:ascii="仿宋_GB2312" w:hAnsi="仿宋_GB2312" w:eastAsia="仿宋_GB2312" w:cs="仿宋_GB2312"/>
          <w:sz w:val="32"/>
        </w:rPr>
        <w:t>各市应根据本通知规定，结合当地实际，制定具体的征收使用管理办法，及时报省财政厅。</w:t>
      </w:r>
    </w:p>
    <w:p>
      <w:pPr>
        <w:overflowPunct w:val="0"/>
        <w:spacing w:line="580" w:lineRule="exact"/>
        <w:ind w:firstLine="640"/>
        <w:rPr>
          <w:rFonts w:ascii="仿宋_GB2312" w:hAnsi="仿宋_GB2312" w:eastAsia="仿宋_GB2312" w:cs="仿宋_GB2312"/>
          <w:sz w:val="32"/>
        </w:rPr>
      </w:pPr>
      <w:r>
        <w:rPr>
          <w:rFonts w:hint="eastAsia" w:ascii="仿宋_GB2312" w:hAnsi="仿宋_GB2312" w:eastAsia="仿宋_GB2312" w:cs="仿宋_GB2312"/>
          <w:sz w:val="32"/>
        </w:rPr>
        <w:t>本通知自2023年4月1日起施行。</w:t>
      </w:r>
    </w:p>
    <w:p>
      <w:pPr>
        <w:overflowPunct w:val="0"/>
        <w:spacing w:line="580" w:lineRule="exact"/>
        <w:ind w:firstLine="640"/>
        <w:rPr>
          <w:rFonts w:ascii="仿宋_GB2312" w:hAnsi="仿宋_GB2312" w:eastAsia="仿宋_GB2312" w:cs="仿宋_GB2312"/>
          <w:sz w:val="32"/>
        </w:rPr>
      </w:pPr>
    </w:p>
    <w:p>
      <w:pPr>
        <w:overflowPunct w:val="0"/>
        <w:spacing w:line="580" w:lineRule="exact"/>
        <w:ind w:firstLine="640"/>
        <w:rPr>
          <w:rFonts w:ascii="仿宋_GB2312" w:hAnsi="仿宋_GB2312" w:eastAsia="仿宋_GB2312" w:cs="仿宋_GB2312"/>
          <w:sz w:val="32"/>
        </w:rPr>
      </w:pPr>
      <w:r>
        <w:rPr>
          <w:rFonts w:hint="eastAsia" w:ascii="仿宋_GB2312" w:hAnsi="仿宋_GB2312" w:eastAsia="仿宋_GB2312" w:cs="仿宋_GB2312"/>
          <w:sz w:val="32"/>
        </w:rPr>
        <w:t>附件：城市基础设施配套费减免相关规定</w:t>
      </w:r>
    </w:p>
    <w:p>
      <w:pPr>
        <w:overflowPunct w:val="0"/>
        <w:spacing w:line="580" w:lineRule="exact"/>
        <w:ind w:firstLine="640"/>
        <w:rPr>
          <w:rFonts w:ascii="仿宋_GB2312" w:hAnsi="仿宋_GB2312" w:eastAsia="仿宋_GB2312" w:cs="仿宋_GB2312"/>
          <w:sz w:val="32"/>
        </w:rPr>
      </w:pPr>
    </w:p>
    <w:p>
      <w:pPr>
        <w:overflowPunct w:val="0"/>
        <w:spacing w:line="580" w:lineRule="exact"/>
        <w:ind w:firstLine="640"/>
        <w:rPr>
          <w:rFonts w:ascii="仿宋_GB2312" w:hAnsi="仿宋_GB2312" w:eastAsia="仿宋_GB2312" w:cs="仿宋_GB2312"/>
          <w:sz w:val="32"/>
        </w:rPr>
      </w:pPr>
    </w:p>
    <w:p>
      <w:pPr>
        <w:overflowPunct w:val="0"/>
        <w:spacing w:line="580" w:lineRule="exact"/>
        <w:ind w:firstLine="640"/>
        <w:rPr>
          <w:rFonts w:ascii="仿宋_GB2312" w:hAnsi="仿宋_GB2312" w:eastAsia="仿宋_GB2312" w:cs="仿宋_GB2312"/>
          <w:sz w:val="32"/>
        </w:rPr>
      </w:pPr>
    </w:p>
    <w:p>
      <w:pPr>
        <w:overflowPunct w:val="0"/>
        <w:spacing w:line="580" w:lineRule="exact"/>
        <w:ind w:firstLine="5385" w:firstLineChars="1683"/>
        <w:rPr>
          <w:rFonts w:ascii="仿宋_GB2312" w:eastAsia="仿宋_GB2312"/>
          <w:sz w:val="32"/>
        </w:rPr>
      </w:pPr>
      <w:r>
        <w:rPr>
          <w:rFonts w:hint="eastAsia" w:ascii="仿宋_GB2312" w:eastAsia="仿宋_GB2312"/>
          <w:sz w:val="32"/>
        </w:rPr>
        <w:t>山东省财政厅</w:t>
      </w:r>
    </w:p>
    <w:p>
      <w:pPr>
        <w:overflowPunct w:val="0"/>
        <w:spacing w:line="580" w:lineRule="exact"/>
        <w:ind w:firstLine="5244" w:firstLineChars="1639"/>
        <w:rPr>
          <w:rFonts w:ascii="仿宋_GB2312" w:eastAsia="仿宋_GB2312"/>
          <w:sz w:val="32"/>
        </w:rPr>
      </w:pPr>
      <w:r>
        <w:rPr>
          <w:rFonts w:hint="eastAsia" w:ascii="仿宋_GB2312" w:eastAsia="仿宋_GB2312"/>
          <w:sz w:val="32"/>
        </w:rPr>
        <w:t>2023年1月4日</w:t>
      </w:r>
    </w:p>
    <w:p>
      <w:pPr>
        <w:spacing w:line="600" w:lineRule="exact"/>
        <w:rPr>
          <w:rFonts w:ascii="黑体" w:hAnsi="黑体" w:eastAsia="黑体" w:cs="黑体"/>
          <w:sz w:val="32"/>
          <w:szCs w:val="32"/>
        </w:rPr>
      </w:pPr>
      <w:r>
        <w:rPr>
          <w:rFonts w:hint="eastAsia" w:ascii="黑体" w:hAnsi="黑体" w:eastAsia="黑体" w:cs="黑体"/>
          <w:sz w:val="32"/>
          <w:szCs w:val="32"/>
        </w:rPr>
        <w:t>附件</w:t>
      </w:r>
    </w:p>
    <w:p>
      <w:pPr>
        <w:spacing w:line="50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城市基础设施配套费</w:t>
      </w:r>
      <w:r>
        <w:rPr>
          <w:rFonts w:hint="eastAsia" w:ascii="方正小标宋简体" w:hAnsi="黑体" w:eastAsia="方正小标宋简体"/>
          <w:sz w:val="44"/>
          <w:szCs w:val="44"/>
        </w:rPr>
        <w:t>减免相关规定</w:t>
      </w:r>
    </w:p>
    <w:tbl>
      <w:tblPr>
        <w:tblStyle w:val="6"/>
        <w:tblpPr w:leftFromText="180" w:rightFromText="180" w:vertAnchor="text" w:horzAnchor="page" w:tblpX="1609" w:tblpY="721"/>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1976"/>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项目名称</w:t>
            </w:r>
          </w:p>
        </w:tc>
        <w:tc>
          <w:tcPr>
            <w:tcW w:w="19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减免方式</w:t>
            </w:r>
          </w:p>
        </w:tc>
        <w:tc>
          <w:tcPr>
            <w:tcW w:w="27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43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棚户区改造安置住房、廉租住房、公共租赁住房、经济适用住房、旧住宅区整治等保障性住房项目</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免征</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p>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国发〔2007〕24号、国发〔2013〕25号、国办发〔2011〕45号、鲁政发〔2007〕74号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3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人民防空建设项目</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免征</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国发〔2008〕4号、鲁政发〔2008〕103号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军队后勤保障社会化改造项目</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免征</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国发〔2002〕20号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3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公共交通基础设施建设项目</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免征</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鲁政办字〔2022〕110号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中小学校“校舍安全工程”建设项目</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免征</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财综〔2010〕54号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3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企业在现有厂区内改建、翻建厂房；建设3层以上厂房的，3层（含3层）以上的部分；建设地下厂房的地下部分</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免征</w:t>
            </w:r>
          </w:p>
        </w:tc>
        <w:tc>
          <w:tcPr>
            <w:tcW w:w="2713" w:type="dxa"/>
            <w:vMerge w:val="restart"/>
            <w:tcBorders>
              <w:top w:val="single" w:color="auto" w:sz="4" w:space="0"/>
              <w:left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鲁政办发〔2007〕48号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3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在现有厂区内扩建、新建厂房</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减半</w:t>
            </w:r>
          </w:p>
        </w:tc>
        <w:tc>
          <w:tcPr>
            <w:tcW w:w="2713" w:type="dxa"/>
            <w:vMerge w:val="continue"/>
            <w:tcBorders>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3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社会投资主体建设多层工业标准厂房 (第二层减半征收,第三层及以上免征)</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免征或减半</w:t>
            </w:r>
          </w:p>
        </w:tc>
        <w:tc>
          <w:tcPr>
            <w:tcW w:w="2713" w:type="dxa"/>
            <w:tcBorders>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鲁政办发〔2013〕36号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3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城镇和农村、公立和民办、教育系统和非教育系统的所有中小学校 (含幼儿园) 的维修、加固、重建、改扩建项目</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免征</w:t>
            </w:r>
          </w:p>
        </w:tc>
        <w:tc>
          <w:tcPr>
            <w:tcW w:w="2713" w:type="dxa"/>
            <w:tcBorders>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国办发〔2013〕103号、鲁财综〔2015〕63号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383" w:type="dxa"/>
            <w:tcBorders>
              <w:top w:val="single" w:color="auto" w:sz="4" w:space="0"/>
              <w:left w:val="single" w:color="auto" w:sz="4" w:space="0"/>
              <w:bottom w:val="single" w:color="auto" w:sz="4" w:space="0"/>
              <w:right w:val="single" w:color="auto" w:sz="4" w:space="0"/>
            </w:tcBorders>
            <w:vAlign w:val="center"/>
          </w:tcPr>
          <w:p>
            <w:pPr>
              <w:pStyle w:val="11"/>
              <w:spacing w:before="181" w:line="240" w:lineRule="exact"/>
              <w:rPr>
                <w:rFonts w:ascii="仿宋_GB2312" w:hAnsi="仿宋_GB2312" w:eastAsia="仿宋_GB2312" w:cs="仿宋_GB2312"/>
                <w:sz w:val="24"/>
              </w:rPr>
            </w:pPr>
            <w:r>
              <w:rPr>
                <w:rFonts w:hint="eastAsia" w:ascii="仿宋_GB2312" w:hAnsi="仿宋_GB2312" w:eastAsia="仿宋_GB2312" w:cs="仿宋_GB2312"/>
                <w:kern w:val="2"/>
                <w:sz w:val="24"/>
                <w:lang w:val="en-US"/>
              </w:rPr>
              <w:t>易地扶贫搬迁项目</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免征</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财税〔2019〕53号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383" w:type="dxa"/>
            <w:tcBorders>
              <w:top w:val="single" w:color="auto" w:sz="4" w:space="0"/>
              <w:left w:val="single" w:color="auto" w:sz="4" w:space="0"/>
              <w:bottom w:val="single" w:color="auto" w:sz="4" w:space="0"/>
              <w:right w:val="single" w:color="auto" w:sz="4" w:space="0"/>
            </w:tcBorders>
            <w:vAlign w:val="center"/>
          </w:tcPr>
          <w:p>
            <w:pPr>
              <w:pStyle w:val="11"/>
              <w:spacing w:line="240" w:lineRule="exact"/>
              <w:ind w:right="98"/>
              <w:rPr>
                <w:rFonts w:ascii="仿宋_GB2312" w:hAnsi="仿宋_GB2312" w:eastAsia="仿宋_GB2312" w:cs="仿宋_GB2312"/>
                <w:sz w:val="24"/>
              </w:rPr>
            </w:pPr>
            <w:r>
              <w:rPr>
                <w:rFonts w:hint="eastAsia" w:ascii="仿宋_GB2312" w:hAnsi="仿宋_GB2312" w:eastAsia="仿宋_GB2312" w:cs="仿宋_GB2312"/>
                <w:kern w:val="2"/>
                <w:sz w:val="24"/>
                <w:lang w:val="en-US"/>
              </w:rPr>
              <w:t>用于提供社区养老、托育、家政服务的建设项目</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免征</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财政部等6部门2019年第76号公告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383" w:type="dxa"/>
            <w:tcBorders>
              <w:top w:val="single" w:color="auto" w:sz="4" w:space="0"/>
              <w:left w:val="single" w:color="auto" w:sz="4" w:space="0"/>
              <w:bottom w:val="single" w:color="auto" w:sz="4" w:space="0"/>
              <w:right w:val="single" w:color="auto" w:sz="4" w:space="0"/>
            </w:tcBorders>
            <w:vAlign w:val="center"/>
          </w:tcPr>
          <w:p>
            <w:pPr>
              <w:pStyle w:val="11"/>
              <w:spacing w:line="240" w:lineRule="exact"/>
              <w:ind w:right="98"/>
              <w:rPr>
                <w:rFonts w:ascii="仿宋_GB2312" w:hAnsi="仿宋_GB2312" w:eastAsia="仿宋_GB2312" w:cs="仿宋_GB2312"/>
                <w:kern w:val="2"/>
                <w:sz w:val="24"/>
                <w:lang w:val="en-US"/>
              </w:rPr>
            </w:pPr>
            <w:r>
              <w:rPr>
                <w:rFonts w:hint="eastAsia" w:ascii="仿宋_GB2312" w:hAnsi="仿宋_GB2312" w:eastAsia="仿宋_GB2312" w:cs="仿宋_GB2312"/>
                <w:kern w:val="2"/>
                <w:sz w:val="24"/>
                <w:lang w:val="en-US"/>
              </w:rPr>
              <w:t>保障性租赁住房项目</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免征</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国办发〔2021〕22号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072" w:type="dxa"/>
            <w:gridSpan w:val="3"/>
            <w:tcBorders>
              <w:top w:val="single" w:color="auto" w:sz="4" w:space="0"/>
              <w:left w:val="single" w:color="auto" w:sz="4" w:space="0"/>
              <w:bottom w:val="single" w:color="auto" w:sz="4" w:space="0"/>
              <w:right w:val="single" w:color="auto" w:sz="4" w:space="0"/>
            </w:tcBorders>
            <w:vAlign w:val="center"/>
          </w:tcPr>
          <w:p>
            <w:pPr>
              <w:tabs>
                <w:tab w:val="left" w:pos="3036"/>
              </w:tabs>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国家对减免城市基础设施配套费有新规定的，从其规定。</w:t>
            </w:r>
          </w:p>
        </w:tc>
      </w:tr>
    </w:tbl>
    <w:p>
      <w:pPr>
        <w:spacing w:line="580" w:lineRule="exact"/>
        <w:jc w:val="both"/>
        <w:rPr>
          <w:rFonts w:ascii="方正小标宋简体" w:hAnsi="宋体" w:eastAsia="方正小标宋简体"/>
          <w:color w:val="000000"/>
          <w:sz w:val="44"/>
        </w:rPr>
      </w:pPr>
      <w:bookmarkStart w:id="3" w:name="_GoBack"/>
      <w:bookmarkEnd w:id="3"/>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方正小标宋简体" w:hAnsi="宋体" w:eastAsia="方正小标宋简体"/>
          <w:color w:val="000000"/>
          <w:sz w:val="44"/>
        </w:rPr>
      </w:pPr>
    </w:p>
    <w:p>
      <w:pPr>
        <w:spacing w:line="580" w:lineRule="exact"/>
        <w:jc w:val="center"/>
        <w:rPr>
          <w:rFonts w:ascii="宋体" w:hAnsi="宋体"/>
          <w:sz w:val="32"/>
        </w:rPr>
      </w:pPr>
    </w:p>
    <w:p>
      <w:pPr>
        <w:spacing w:line="600" w:lineRule="exact"/>
        <w:rPr>
          <w:rFonts w:ascii="仿宋_GB2312" w:eastAsia="方正小标宋简体"/>
          <w:color w:val="000000"/>
          <w:sz w:val="28"/>
          <w:szCs w:val="28"/>
        </w:rPr>
      </w:pPr>
      <w:r>
        <w:rPr>
          <w:rFonts w:hint="eastAsia" w:ascii="黑体" w:eastAsia="黑体"/>
          <w:sz w:val="28"/>
          <w:szCs w:val="28"/>
        </w:rPr>
        <w:t>信息公开选项</w:t>
      </w:r>
      <w:r>
        <w:rPr>
          <w:rFonts w:hint="eastAsia" w:ascii="仿宋_GB2312" w:eastAsia="仿宋_GB2312"/>
          <w:sz w:val="28"/>
          <w:szCs w:val="28"/>
        </w:rPr>
        <w:t>:</w:t>
      </w:r>
      <w:bookmarkStart w:id="1" w:name="OpenType"/>
      <w:r>
        <w:rPr>
          <w:rFonts w:hint="eastAsia" w:ascii="方正小标宋简体" w:eastAsia="方正小标宋简体"/>
          <w:color w:val="000000"/>
          <w:sz w:val="28"/>
          <w:szCs w:val="28"/>
        </w:rPr>
        <w:t>主动公开</w:t>
      </w:r>
      <w:bookmarkEnd w:id="1"/>
    </w:p>
    <w:p>
      <w:pPr>
        <w:spacing w:line="600" w:lineRule="exact"/>
        <w:ind w:firstLine="313" w:firstLineChars="98"/>
        <w:rPr>
          <w:rFonts w:ascii="仿宋_GB2312" w:eastAsia="仿宋_GB2312"/>
          <w:sz w:val="28"/>
          <w:szCs w:val="28"/>
        </w:rPr>
      </w:pPr>
      <w:r>
        <w:rPr>
          <w:rFonts w:ascii="仿宋_GB2312" w:eastAsia="仿宋_GB2312"/>
          <w:sz w:val="32"/>
        </w:rPr>
        <w:pict>
          <v:line id="直线 11" o:spid="_x0000_s1029" o:spt="20" style="position:absolute;left:0pt;margin-left:0pt;margin-top:1.4pt;height:0pt;width:451.5pt;z-index:251660288;mso-width-relative:page;mso-height-relative:page;" coordsize="21600,21600" o:gfxdata="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CqESNIAAAAEAQAADwAAAAAAAAABACAAAAAiAAAAZHJzL2Rv&#10;d25yZXYueG1sUEsBAhQAFAAAAAgAh07iQPethQPOAQAAjwMAAA4AAAAAAAAAAQAgAAAAIQEAAGRy&#10;cy9lMm9Eb2MueG1sUEsFBgAAAAAGAAYAWQEAAGEFAAAAAA==&#10;">
            <v:path arrowok="t"/>
            <v:fill focussize="0,0"/>
            <v:stroke weight="1pt"/>
            <v:imagedata o:title=""/>
            <o:lock v:ext="edit"/>
          </v:line>
        </w:pict>
      </w:r>
      <w:r>
        <w:rPr>
          <w:rFonts w:hint="eastAsia" w:ascii="仿宋_GB2312" w:eastAsia="仿宋_GB2312"/>
          <w:sz w:val="28"/>
          <w:szCs w:val="28"/>
        </w:rPr>
        <w:t>抄送：</w:t>
      </w:r>
      <w:bookmarkStart w:id="2" w:name="CopyTo"/>
      <w:r>
        <w:rPr>
          <w:rFonts w:hint="eastAsia" w:ascii="仿宋_GB2312" w:eastAsia="仿宋_GB2312"/>
          <w:sz w:val="28"/>
          <w:szCs w:val="28"/>
        </w:rPr>
        <w:t>财政部，省发展改革委、省自然资源厅、省住房城乡建设厅。</w:t>
      </w:r>
      <w:bookmarkEnd w:id="2"/>
    </w:p>
    <w:p>
      <w:pPr>
        <w:spacing w:line="600" w:lineRule="exact"/>
        <w:ind w:firstLine="313" w:firstLineChars="98"/>
        <w:rPr>
          <w:sz w:val="28"/>
          <w:szCs w:val="28"/>
        </w:rPr>
      </w:pPr>
      <w:r>
        <w:rPr>
          <w:rFonts w:ascii="仿宋_GB2312" w:eastAsia="仿宋_GB2312"/>
          <w:sz w:val="32"/>
        </w:rPr>
        <w:pict>
          <v:line id="直线 13" o:spid="_x0000_s1028" o:spt="20" style="position:absolute;left:0pt;margin-left:0pt;margin-top:2.05pt;height:0pt;width:451.5pt;z-index:251662336;mso-width-relative:page;mso-height-relative:page;" coordsize="21600,21600" o:gfxdata="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hkEbPQAAAABAEAAA8AAAAAAAAAAQAgAAAAIgAAAGRycy9kb3du&#10;cmV2LnhtbFBLAQIUABQAAAAIAIdO4kAHYC0KzgEAAI4DAAAOAAAAAAAAAAEAIAAAAB8BAABkcnMv&#10;ZTJvRG9jLnhtbFBLBQYAAAAABgAGAFkBAABfBQAAAAA=&#10;">
            <v:path arrowok="t"/>
            <v:fill focussize="0,0"/>
            <v:stroke weight="0.5pt"/>
            <v:imagedata o:title=""/>
            <o:lock v:ext="edit"/>
          </v:line>
        </w:pict>
      </w:r>
      <w:r>
        <w:rPr>
          <w:rFonts w:ascii="仿宋_GB2312" w:eastAsia="仿宋_GB2312"/>
          <w:sz w:val="32"/>
        </w:rPr>
        <w:pict>
          <v:line id="直线 12" o:spid="_x0000_s1027" o:spt="20" style="position:absolute;left:0pt;margin-left:0pt;margin-top:31pt;height:0pt;width:451.5pt;z-index:251661312;mso-width-relative:page;mso-height-relative:page;" coordsize="21600,21600" o:gfxdata="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FuMbVAAAABgEAAA8AAAAAAAAAAQAgAAAAIgAAAGRy&#10;cy9kb3ducmV2LnhtbFBLAQIUABQAAAAIAIdO4kAwir6ezwEAAI8DAAAOAAAAAAAAAAEAIAAAACQB&#10;AABkcnMvZTJvRG9jLnhtbFBLBQYAAAAABgAGAFkBAABlBQAAAAA=&#10;">
            <v:path arrowok="t"/>
            <v:fill focussize="0,0"/>
            <v:stroke weight="1pt"/>
            <v:imagedata o:title=""/>
            <o:lock v:ext="edit"/>
          </v:line>
        </w:pict>
      </w:r>
      <w:r>
        <w:rPr>
          <w:rFonts w:hint="eastAsia" w:ascii="仿宋_GB2312" w:eastAsia="仿宋_GB2312"/>
          <w:sz w:val="28"/>
          <w:szCs w:val="28"/>
        </w:rPr>
        <w:t xml:space="preserve">山东省财政厅办公室                        2023年1月5日印发 </w:t>
      </w:r>
    </w:p>
    <w:sectPr>
      <w:footerReference r:id="rId3" w:type="default"/>
      <w:footerReference r:id="rId4" w:type="even"/>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文星简大标宋">
    <w:altName w:val="微软雅黑"/>
    <w:panose1 w:val="00000000000000000000"/>
    <w:charset w:val="86"/>
    <w:family w:val="modern"/>
    <w:pitch w:val="default"/>
    <w:sig w:usb0="00000000" w:usb1="00000000" w:usb2="00000000" w:usb3="00000000" w:csb0="00000000" w:csb1="00000000"/>
  </w:font>
  <w:font w:name="文星简仿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4"/>
        <w:szCs w:val="24"/>
      </w:rPr>
    </w:pPr>
    <w:r>
      <w:rPr>
        <w:rStyle w:val="8"/>
        <w:rFonts w:hint="eastAsia" w:ascii="宋体" w:hAnsi="宋体"/>
        <w:sz w:val="24"/>
        <w:szCs w:val="24"/>
      </w:rPr>
      <w:t xml:space="preserve">— </w:t>
    </w:r>
    <w:r>
      <w:rPr>
        <w:rFonts w:ascii="宋体" w:hAnsi="宋体"/>
        <w:sz w:val="24"/>
        <w:szCs w:val="24"/>
      </w:rPr>
      <w:fldChar w:fldCharType="begin"/>
    </w:r>
    <w:r>
      <w:rPr>
        <w:rStyle w:val="8"/>
        <w:rFonts w:ascii="宋体" w:hAnsi="宋体"/>
        <w:sz w:val="24"/>
        <w:szCs w:val="24"/>
      </w:rPr>
      <w:instrText xml:space="preserve">PAGE  </w:instrText>
    </w:r>
    <w:r>
      <w:rPr>
        <w:rFonts w:ascii="宋体" w:hAnsi="宋体"/>
        <w:sz w:val="24"/>
        <w:szCs w:val="24"/>
      </w:rPr>
      <w:fldChar w:fldCharType="separate"/>
    </w:r>
    <w:r>
      <w:rPr>
        <w:rStyle w:val="8"/>
        <w:rFonts w:ascii="宋体" w:hAnsi="宋体"/>
        <w:sz w:val="24"/>
        <w:szCs w:val="24"/>
      </w:rPr>
      <w:t>3</w:t>
    </w:r>
    <w:r>
      <w:rPr>
        <w:rFonts w:ascii="宋体" w:hAnsi="宋体"/>
        <w:sz w:val="24"/>
        <w:szCs w:val="24"/>
      </w:rPr>
      <w:fldChar w:fldCharType="end"/>
    </w:r>
    <w:r>
      <w:rPr>
        <w:rStyle w:val="8"/>
        <w:rFonts w:hint="eastAsia" w:ascii="宋体" w:hAnsi="宋体"/>
        <w:sz w:val="24"/>
        <w:szCs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2702"/>
    <w:multiLevelType w:val="singleLevel"/>
    <w:tmpl w:val="B7072702"/>
    <w:lvl w:ilvl="0" w:tentative="0">
      <w:start w:val="5"/>
      <w:numFmt w:val="chineseCounting"/>
      <w:suff w:val="nothing"/>
      <w:lvlText w:val="%1、"/>
      <w:lvlJc w:val="left"/>
      <w:rPr>
        <w:rFonts w:hint="eastAsia"/>
      </w:rPr>
    </w:lvl>
  </w:abstractNum>
  <w:abstractNum w:abstractNumId="1">
    <w:nsid w:val="C9DB285A"/>
    <w:multiLevelType w:val="singleLevel"/>
    <w:tmpl w:val="C9DB285A"/>
    <w:lvl w:ilvl="0" w:tentative="0">
      <w:start w:val="1"/>
      <w:numFmt w:val="chineseCounting"/>
      <w:suff w:val="nothing"/>
      <w:lvlText w:val="（%1）"/>
      <w:lvlJc w:val="left"/>
      <w:rPr>
        <w:rFonts w:hint="eastAsia"/>
      </w:rPr>
    </w:lvl>
  </w:abstractNum>
  <w:abstractNum w:abstractNumId="2">
    <w:nsid w:val="031D22F6"/>
    <w:multiLevelType w:val="singleLevel"/>
    <w:tmpl w:val="031D22F6"/>
    <w:lvl w:ilvl="0" w:tentative="0">
      <w:start w:val="1"/>
      <w:numFmt w:val="chineseCounting"/>
      <w:suff w:val="nothing"/>
      <w:lvlText w:val="（%1）"/>
      <w:lvlJc w:val="left"/>
      <w:pPr>
        <w:ind w:left="-4"/>
      </w:pPr>
      <w:rPr>
        <w:rFonts w:hint="eastAsia"/>
      </w:rPr>
    </w:lvl>
  </w:abstractNum>
  <w:abstractNum w:abstractNumId="3">
    <w:nsid w:val="31688AD8"/>
    <w:multiLevelType w:val="singleLevel"/>
    <w:tmpl w:val="31688AD8"/>
    <w:lvl w:ilvl="0" w:tentative="0">
      <w:start w:val="1"/>
      <w:numFmt w:val="chineseCounting"/>
      <w:suff w:val="nothing"/>
      <w:lvlText w:val="%1、"/>
      <w:lvlJc w:val="left"/>
      <w:rPr>
        <w:rFonts w:hint="eastAsia"/>
      </w:rPr>
    </w:lvl>
  </w:abstractNum>
  <w:abstractNum w:abstractNumId="4">
    <w:nsid w:val="5D1B08A8"/>
    <w:multiLevelType w:val="singleLevel"/>
    <w:tmpl w:val="5D1B08A8"/>
    <w:lvl w:ilvl="0" w:tentative="0">
      <w:start w:val="1"/>
      <w:numFmt w:val="chineseCounting"/>
      <w:suff w:val="nothing"/>
      <w:lvlText w:val="（%1）"/>
      <w:lvlJc w:val="left"/>
      <w:rPr>
        <w:rFonts w:hint="eastAsia"/>
      </w:rPr>
    </w:lvl>
  </w:abstractNum>
  <w:abstractNum w:abstractNumId="5">
    <w:nsid w:val="61D9F27F"/>
    <w:multiLevelType w:val="singleLevel"/>
    <w:tmpl w:val="61D9F27F"/>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MGJjNjA2NmRjNzVhZmY1MmZjYjI1ZTg4MWZmZDFlOWQifQ=="/>
  </w:docVars>
  <w:rsids>
    <w:rsidRoot w:val="0030601E"/>
    <w:rsid w:val="00024F39"/>
    <w:rsid w:val="00074071"/>
    <w:rsid w:val="000C05C5"/>
    <w:rsid w:val="000E381D"/>
    <w:rsid w:val="00114F0C"/>
    <w:rsid w:val="00162956"/>
    <w:rsid w:val="001676E5"/>
    <w:rsid w:val="001A3153"/>
    <w:rsid w:val="002765B1"/>
    <w:rsid w:val="00286613"/>
    <w:rsid w:val="00293A0C"/>
    <w:rsid w:val="002F118A"/>
    <w:rsid w:val="0030601E"/>
    <w:rsid w:val="00310C20"/>
    <w:rsid w:val="00317B52"/>
    <w:rsid w:val="003750F5"/>
    <w:rsid w:val="003A3EAA"/>
    <w:rsid w:val="003D364C"/>
    <w:rsid w:val="004403DC"/>
    <w:rsid w:val="0044261C"/>
    <w:rsid w:val="004706F9"/>
    <w:rsid w:val="004767A3"/>
    <w:rsid w:val="00483DCB"/>
    <w:rsid w:val="004840A9"/>
    <w:rsid w:val="004C0A7F"/>
    <w:rsid w:val="004E3F6D"/>
    <w:rsid w:val="00503043"/>
    <w:rsid w:val="005431B2"/>
    <w:rsid w:val="005D3317"/>
    <w:rsid w:val="00636ABE"/>
    <w:rsid w:val="00652A7C"/>
    <w:rsid w:val="0065790A"/>
    <w:rsid w:val="007029AE"/>
    <w:rsid w:val="00784013"/>
    <w:rsid w:val="007A2409"/>
    <w:rsid w:val="007F4FA3"/>
    <w:rsid w:val="0088113A"/>
    <w:rsid w:val="008B276D"/>
    <w:rsid w:val="008C1D7C"/>
    <w:rsid w:val="008F47DA"/>
    <w:rsid w:val="00945AE3"/>
    <w:rsid w:val="0095598D"/>
    <w:rsid w:val="00982A12"/>
    <w:rsid w:val="009A1922"/>
    <w:rsid w:val="009A6CFD"/>
    <w:rsid w:val="00A10A8E"/>
    <w:rsid w:val="00A650E1"/>
    <w:rsid w:val="00A76C39"/>
    <w:rsid w:val="00A96211"/>
    <w:rsid w:val="00AB3FC5"/>
    <w:rsid w:val="00AF11CF"/>
    <w:rsid w:val="00B0555C"/>
    <w:rsid w:val="00B411F8"/>
    <w:rsid w:val="00B80CBC"/>
    <w:rsid w:val="00BA2F59"/>
    <w:rsid w:val="00BE1FE8"/>
    <w:rsid w:val="00D141A1"/>
    <w:rsid w:val="00D5180C"/>
    <w:rsid w:val="00D5508A"/>
    <w:rsid w:val="00D87CD0"/>
    <w:rsid w:val="00D94451"/>
    <w:rsid w:val="00D95A7A"/>
    <w:rsid w:val="00DA2701"/>
    <w:rsid w:val="00E16704"/>
    <w:rsid w:val="00E952D8"/>
    <w:rsid w:val="00EB7047"/>
    <w:rsid w:val="00ED039B"/>
    <w:rsid w:val="00ED17EC"/>
    <w:rsid w:val="00EF176F"/>
    <w:rsid w:val="00F2447D"/>
    <w:rsid w:val="00F74337"/>
    <w:rsid w:val="00F94A95"/>
    <w:rsid w:val="00FE1A26"/>
    <w:rsid w:val="05585350"/>
    <w:rsid w:val="05FB0075"/>
    <w:rsid w:val="075B568F"/>
    <w:rsid w:val="0B081CE8"/>
    <w:rsid w:val="11FA7C1A"/>
    <w:rsid w:val="173C6066"/>
    <w:rsid w:val="1FFF5267"/>
    <w:rsid w:val="27EE7CEF"/>
    <w:rsid w:val="332306DB"/>
    <w:rsid w:val="37A318E7"/>
    <w:rsid w:val="3BF721DE"/>
    <w:rsid w:val="3EA464B7"/>
    <w:rsid w:val="3F9DCC53"/>
    <w:rsid w:val="4277631F"/>
    <w:rsid w:val="4A2431F4"/>
    <w:rsid w:val="546E5213"/>
    <w:rsid w:val="555E2C08"/>
    <w:rsid w:val="5BD462C2"/>
    <w:rsid w:val="5CD57D93"/>
    <w:rsid w:val="664E3A6B"/>
    <w:rsid w:val="6DEA3474"/>
    <w:rsid w:val="76944242"/>
    <w:rsid w:val="779FDF92"/>
    <w:rsid w:val="7AEE6C98"/>
    <w:rsid w:val="7EA43855"/>
    <w:rsid w:val="7F7570C5"/>
    <w:rsid w:val="E317C22E"/>
    <w:rsid w:val="EDDF79EB"/>
    <w:rsid w:val="F6D7FAB2"/>
    <w:rsid w:val="FBFF8723"/>
    <w:rsid w:val="FFCD66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文星简大标宋"/>
      <w:szCs w:val="21"/>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kern w:val="2"/>
      <w:sz w:val="18"/>
      <w:szCs w:val="18"/>
    </w:rPr>
  </w:style>
  <w:style w:type="paragraph" w:customStyle="1" w:styleId="10">
    <w:name w:val="样式1"/>
    <w:basedOn w:val="1"/>
    <w:qFormat/>
    <w:uiPriority w:val="0"/>
    <w:pPr>
      <w:spacing w:line="600" w:lineRule="atLeast"/>
    </w:pPr>
    <w:rPr>
      <w:rFonts w:eastAsia="文星简仿宋"/>
      <w:sz w:val="32"/>
      <w:szCs w:val="20"/>
    </w:rPr>
  </w:style>
  <w:style w:type="paragraph" w:customStyle="1" w:styleId="11">
    <w:name w:val="Table Paragraph"/>
    <w:basedOn w:val="1"/>
    <w:qFormat/>
    <w:uiPriority w:val="0"/>
    <w:pPr>
      <w:autoSpaceDE w:val="0"/>
      <w:autoSpaceDN w:val="0"/>
      <w:jc w:val="left"/>
    </w:pPr>
    <w:rPr>
      <w:rFonts w:ascii="宋体" w:hAnsi="宋体" w:cs="宋体"/>
      <w:kern w:val="0"/>
      <w:sz w:val="2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beelink</Company>
  <Pages>7</Pages>
  <Words>2584</Words>
  <Characters>2702</Characters>
  <Lines>2</Lines>
  <Paragraphs>5</Paragraphs>
  <TotalTime>5</TotalTime>
  <ScaleCrop>false</ScaleCrop>
  <LinksUpToDate>false</LinksUpToDate>
  <CharactersWithSpaces>2730</CharactersWithSpaces>
  <Application>WPS Office_11.1.0.14309_F1E327BC-269C-435d-A152-05C5408002CA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2023-03-02T02:11:00Z</dcterms:created>
  <dc:creator>刘冰</dc:creator>
  <cp:lastModifiedBy>Administrator</cp:lastModifiedBy>
  <dcterms:modified xsi:type="dcterms:W3CDTF">2023-05-31T01:48:54Z</dcterms:modified>
  <dc:title>山东省财政厅文件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37B88F9E653149CFB19409FB030BA85F</vt:lpwstr>
  </property>
</Properties>
</file>